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2CABB" w14:textId="77777777" w:rsidR="003E072F" w:rsidRPr="00D92392" w:rsidRDefault="00E639D1" w:rsidP="00D92392">
      <w:pPr>
        <w:spacing w:before="120" w:after="120"/>
        <w:rPr>
          <w:rFonts w:asciiTheme="minorHAnsi" w:hAnsiTheme="minorHAnsi"/>
          <w:sz w:val="22"/>
          <w:szCs w:val="22"/>
        </w:rPr>
      </w:pPr>
      <w:bookmarkStart w:id="0" w:name="_GoBack"/>
      <w:r w:rsidRPr="00D92392">
        <w:rPr>
          <w:rFonts w:asciiTheme="minorHAnsi" w:hAnsiTheme="minorHAnsi"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0" layoutInCell="1" allowOverlap="1" wp14:anchorId="0EC80BCB" wp14:editId="50EBA1F2">
            <wp:simplePos x="0" y="0"/>
            <wp:positionH relativeFrom="column">
              <wp:posOffset>5438140</wp:posOffset>
            </wp:positionH>
            <wp:positionV relativeFrom="paragraph">
              <wp:posOffset>140970</wp:posOffset>
            </wp:positionV>
            <wp:extent cx="516890" cy="530225"/>
            <wp:effectExtent l="0" t="0" r="0" b="3175"/>
            <wp:wrapTight wrapText="bothSides">
              <wp:wrapPolygon edited="0">
                <wp:start x="0" y="0"/>
                <wp:lineTo x="0" y="20953"/>
                <wp:lineTo x="20698" y="20953"/>
                <wp:lineTo x="20698" y="0"/>
                <wp:lineTo x="0" y="0"/>
              </wp:wrapPolygon>
            </wp:wrapTight>
            <wp:docPr id="16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CB823CE" w14:textId="77777777" w:rsidR="003E072F" w:rsidRPr="00D92392" w:rsidRDefault="003E072F" w:rsidP="00D92392">
      <w:pPr>
        <w:spacing w:before="120" w:after="120"/>
        <w:ind w:left="-142"/>
        <w:outlineLvl w:val="0"/>
        <w:rPr>
          <w:rFonts w:asciiTheme="minorHAnsi" w:hAnsiTheme="minorHAnsi"/>
          <w:b/>
          <w:sz w:val="22"/>
          <w:szCs w:val="22"/>
        </w:rPr>
      </w:pPr>
      <w:r w:rsidRPr="00D92392">
        <w:rPr>
          <w:rFonts w:asciiTheme="minorHAnsi" w:hAnsiTheme="minorHAnsi"/>
          <w:b/>
          <w:sz w:val="22"/>
          <w:szCs w:val="22"/>
        </w:rPr>
        <w:t>INSTRUKCJA DLA PROWADZĄCEGO ZAJĘCIA</w:t>
      </w:r>
    </w:p>
    <w:p w14:paraId="0F424E56" w14:textId="47413C66" w:rsidR="003E072F" w:rsidRPr="00D92392" w:rsidRDefault="003E072F" w:rsidP="00D92392">
      <w:pPr>
        <w:spacing w:before="120" w:after="120"/>
        <w:ind w:left="-142"/>
        <w:rPr>
          <w:rFonts w:asciiTheme="minorHAnsi" w:hAnsiTheme="minorHAnsi"/>
          <w:b/>
          <w:sz w:val="22"/>
          <w:szCs w:val="22"/>
        </w:rPr>
      </w:pPr>
      <w:r w:rsidRPr="00D92392">
        <w:rPr>
          <w:rFonts w:asciiTheme="minorHAnsi" w:hAnsiTheme="minorHAnsi"/>
          <w:b/>
          <w:sz w:val="22"/>
          <w:szCs w:val="22"/>
        </w:rPr>
        <w:t xml:space="preserve">nt. etyki i dylematów </w:t>
      </w:r>
      <w:r w:rsidR="00BE1CC9" w:rsidRPr="00D92392">
        <w:rPr>
          <w:rFonts w:asciiTheme="minorHAnsi" w:hAnsiTheme="minorHAnsi"/>
          <w:b/>
          <w:sz w:val="22"/>
          <w:szCs w:val="22"/>
        </w:rPr>
        <w:t xml:space="preserve">etycznych </w:t>
      </w:r>
      <w:r w:rsidRPr="00D92392">
        <w:rPr>
          <w:rFonts w:asciiTheme="minorHAnsi" w:hAnsiTheme="minorHAnsi"/>
          <w:b/>
          <w:sz w:val="22"/>
          <w:szCs w:val="22"/>
        </w:rPr>
        <w:t>w służbie cywilnej</w:t>
      </w:r>
    </w:p>
    <w:p w14:paraId="7DC3EB11" w14:textId="77777777" w:rsidR="003E072F" w:rsidRPr="00D92392" w:rsidRDefault="003E072F" w:rsidP="00D92392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tbl>
      <w:tblPr>
        <w:tblW w:w="9463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7836"/>
      </w:tblGrid>
      <w:tr w:rsidR="003D4762" w:rsidRPr="00D92392" w14:paraId="4F09B6BC" w14:textId="77777777" w:rsidTr="003D4762">
        <w:trPr>
          <w:trHeight w:val="419"/>
        </w:trPr>
        <w:tc>
          <w:tcPr>
            <w:tcW w:w="1627" w:type="dxa"/>
            <w:shd w:val="clear" w:color="auto" w:fill="D9D9D9"/>
            <w:vAlign w:val="center"/>
          </w:tcPr>
          <w:p w14:paraId="601DE35C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TYTUŁ SZKOLENIA</w:t>
            </w:r>
          </w:p>
        </w:tc>
        <w:tc>
          <w:tcPr>
            <w:tcW w:w="7836" w:type="dxa"/>
            <w:shd w:val="clear" w:color="auto" w:fill="FFFFFF"/>
          </w:tcPr>
          <w:p w14:paraId="75A827BF" w14:textId="787E607C" w:rsidR="003E072F" w:rsidRPr="00D92392" w:rsidRDefault="005645C4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Szkolenie dla osób podejmujących po raz pierwszy pracę w służbie cywilnej</w:t>
            </w:r>
          </w:p>
        </w:tc>
      </w:tr>
      <w:tr w:rsidR="003D4762" w:rsidRPr="00D92392" w14:paraId="08A6F69A" w14:textId="77777777" w:rsidTr="003D4762">
        <w:trPr>
          <w:trHeight w:val="306"/>
        </w:trPr>
        <w:tc>
          <w:tcPr>
            <w:tcW w:w="16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2B416F3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836" w:type="dxa"/>
            <w:tcBorders>
              <w:left w:val="nil"/>
              <w:right w:val="nil"/>
            </w:tcBorders>
            <w:shd w:val="clear" w:color="auto" w:fill="FFFFFF"/>
          </w:tcPr>
          <w:p w14:paraId="11E13B27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D4762" w:rsidRPr="00D92392" w14:paraId="15271DE0" w14:textId="77777777" w:rsidTr="003D4762">
        <w:trPr>
          <w:trHeight w:val="404"/>
        </w:trPr>
        <w:tc>
          <w:tcPr>
            <w:tcW w:w="1627" w:type="dxa"/>
            <w:shd w:val="clear" w:color="auto" w:fill="D9D9D9"/>
            <w:vAlign w:val="center"/>
          </w:tcPr>
          <w:p w14:paraId="084F249A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TEMATYKA</w:t>
            </w:r>
          </w:p>
        </w:tc>
        <w:tc>
          <w:tcPr>
            <w:tcW w:w="7836" w:type="dxa"/>
            <w:shd w:val="clear" w:color="auto" w:fill="FFFFFF"/>
            <w:vAlign w:val="center"/>
          </w:tcPr>
          <w:p w14:paraId="5F3BD354" w14:textId="2059AEC7" w:rsidR="003E072F" w:rsidRPr="00D92392" w:rsidRDefault="00D56D60" w:rsidP="00D9239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 xml:space="preserve">Prawne źródła </w:t>
            </w:r>
            <w:r w:rsidR="007D18CA">
              <w:rPr>
                <w:sz w:val="22"/>
                <w:szCs w:val="22"/>
              </w:rPr>
              <w:t>infrastruktury etycznej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3D4762" w:rsidRPr="00D92392" w14:paraId="3D51050F" w14:textId="77777777" w:rsidTr="003D4762">
        <w:trPr>
          <w:trHeight w:val="432"/>
        </w:trPr>
        <w:tc>
          <w:tcPr>
            <w:tcW w:w="1627" w:type="dxa"/>
            <w:shd w:val="clear" w:color="auto" w:fill="D9D9D9"/>
            <w:vAlign w:val="center"/>
          </w:tcPr>
          <w:p w14:paraId="18B1E47B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 xml:space="preserve">CZAS </w:t>
            </w:r>
          </w:p>
        </w:tc>
        <w:tc>
          <w:tcPr>
            <w:tcW w:w="7836" w:type="dxa"/>
            <w:shd w:val="clear" w:color="auto" w:fill="FFFFFF"/>
            <w:vAlign w:val="center"/>
          </w:tcPr>
          <w:p w14:paraId="7B970ECF" w14:textId="66AF9076" w:rsidR="003E072F" w:rsidRPr="00D92392" w:rsidRDefault="003E072F" w:rsidP="00D92392">
            <w:pPr>
              <w:tabs>
                <w:tab w:val="left" w:pos="922"/>
              </w:tabs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45 min</w:t>
            </w:r>
            <w:r w:rsidR="006C66A7" w:rsidRPr="00D9239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ab/>
            </w:r>
            <w:r w:rsidR="00D56D60" w:rsidRPr="00D92392">
              <w:rPr>
                <w:rFonts w:asciiTheme="minorHAnsi" w:hAnsiTheme="minorHAnsi"/>
                <w:sz w:val="22"/>
                <w:szCs w:val="22"/>
              </w:rPr>
              <w:t>25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min. </w:t>
            </w:r>
            <w:r w:rsidR="00707597" w:rsidRPr="00D92392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wykład </w:t>
            </w:r>
            <w:r w:rsidR="007E5B9F">
              <w:rPr>
                <w:rFonts w:asciiTheme="minorHAnsi" w:hAnsiTheme="minorHAnsi"/>
                <w:sz w:val="22"/>
                <w:szCs w:val="22"/>
              </w:rPr>
              <w:t>z dyskusją</w:t>
            </w:r>
          </w:p>
          <w:p w14:paraId="012D2E2C" w14:textId="11495635" w:rsidR="003E072F" w:rsidRPr="00D92392" w:rsidRDefault="00D661F9" w:rsidP="00D92392">
            <w:pPr>
              <w:tabs>
                <w:tab w:val="left" w:pos="924"/>
              </w:tabs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ab/>
            </w:r>
            <w:r w:rsidR="00FF5282" w:rsidRPr="00D92392">
              <w:rPr>
                <w:rFonts w:asciiTheme="minorHAnsi" w:hAnsiTheme="minorHAnsi"/>
                <w:sz w:val="22"/>
                <w:szCs w:val="22"/>
              </w:rPr>
              <w:t>20</w:t>
            </w:r>
            <w:r w:rsidR="003E072F" w:rsidRPr="00D92392">
              <w:rPr>
                <w:rFonts w:asciiTheme="minorHAnsi" w:hAnsiTheme="minorHAnsi"/>
                <w:sz w:val="22"/>
                <w:szCs w:val="22"/>
              </w:rPr>
              <w:t xml:space="preserve"> min. – ćwiczenie</w:t>
            </w:r>
          </w:p>
        </w:tc>
      </w:tr>
      <w:tr w:rsidR="003D4762" w:rsidRPr="00D92392" w14:paraId="670AA504" w14:textId="77777777" w:rsidTr="003D4762">
        <w:tc>
          <w:tcPr>
            <w:tcW w:w="1627" w:type="dxa"/>
            <w:shd w:val="clear" w:color="auto" w:fill="D9D9D9"/>
            <w:vAlign w:val="center"/>
          </w:tcPr>
          <w:p w14:paraId="683BD755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 xml:space="preserve">FORMA </w:t>
            </w:r>
            <w:r w:rsidRPr="00D92392">
              <w:rPr>
                <w:rFonts w:asciiTheme="minorHAnsi" w:hAnsiTheme="minorHAnsi"/>
                <w:b/>
                <w:sz w:val="22"/>
                <w:szCs w:val="22"/>
              </w:rPr>
              <w:br/>
              <w:t>PROWADZENIA ZAJĘĆ</w:t>
            </w:r>
          </w:p>
        </w:tc>
        <w:tc>
          <w:tcPr>
            <w:tcW w:w="7836" w:type="dxa"/>
            <w:shd w:val="clear" w:color="auto" w:fill="FFFFFF"/>
            <w:vAlign w:val="center"/>
          </w:tcPr>
          <w:p w14:paraId="5AC0B6BD" w14:textId="5EFBDA3B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Wykład z dyskusją</w:t>
            </w:r>
            <w:r w:rsidR="006C66A7" w:rsidRPr="00D9239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2F48DA" w14:textId="0349A121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 xml:space="preserve">Ćwiczenie </w:t>
            </w:r>
            <w:r w:rsidR="00C45BED" w:rsidRPr="00D92392">
              <w:rPr>
                <w:rFonts w:asciiTheme="minorHAnsi" w:hAnsiTheme="minorHAnsi"/>
                <w:sz w:val="22"/>
                <w:szCs w:val="22"/>
              </w:rPr>
              <w:t xml:space="preserve">w </w:t>
            </w:r>
            <w:r w:rsidR="00E054BF">
              <w:rPr>
                <w:rFonts w:asciiTheme="minorHAnsi" w:hAnsiTheme="minorHAnsi"/>
                <w:sz w:val="22"/>
                <w:szCs w:val="22"/>
              </w:rPr>
              <w:t>zespołach</w:t>
            </w:r>
            <w:r w:rsidR="00C45BED" w:rsidRPr="00D9239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</w:tr>
      <w:tr w:rsidR="003E072F" w:rsidRPr="00D92392" w14:paraId="4E3ECBA4" w14:textId="77777777" w:rsidTr="003D4762">
        <w:trPr>
          <w:trHeight w:val="236"/>
        </w:trPr>
        <w:tc>
          <w:tcPr>
            <w:tcW w:w="946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6971C8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705037" w:rsidRPr="00D92392" w14:paraId="05A69D57" w14:textId="77777777" w:rsidTr="003D4762">
        <w:trPr>
          <w:trHeight w:val="1550"/>
        </w:trPr>
        <w:tc>
          <w:tcPr>
            <w:tcW w:w="1627" w:type="dxa"/>
            <w:shd w:val="clear" w:color="auto" w:fill="D9D9D9"/>
          </w:tcPr>
          <w:p w14:paraId="5A171F14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Opis</w:t>
            </w:r>
          </w:p>
          <w:p w14:paraId="44102D90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BB0CB59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875ED9A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2F28DF60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0E22B7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836" w:type="dxa"/>
          </w:tcPr>
          <w:p w14:paraId="0F56B334" w14:textId="168F3254" w:rsidR="003E072F" w:rsidRPr="00D92392" w:rsidRDefault="00BE7618" w:rsidP="00D92392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Cel</w:t>
            </w:r>
          </w:p>
          <w:p w14:paraId="75D34B4F" w14:textId="77777777" w:rsidR="00795D06" w:rsidRPr="00D92392" w:rsidRDefault="00795D06" w:rsidP="00795D06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Uświadom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uczestników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, że kwestie etyczne w służbie cywilnej mają solidne umocowanie prawne. </w:t>
            </w:r>
          </w:p>
          <w:p w14:paraId="3C39E069" w14:textId="519744C1" w:rsidR="00962EBA" w:rsidRPr="00D92392" w:rsidRDefault="00962EBA" w:rsidP="00D92392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</w:t>
            </w:r>
            <w:r w:rsidR="00835973">
              <w:rPr>
                <w:rFonts w:asciiTheme="minorHAnsi" w:hAnsiTheme="minorHAnsi"/>
                <w:sz w:val="22"/>
                <w:szCs w:val="22"/>
              </w:rPr>
              <w:t>ż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i omów najważniejsz</w:t>
            </w:r>
            <w:r w:rsidR="00835973">
              <w:rPr>
                <w:rFonts w:asciiTheme="minorHAnsi" w:hAnsiTheme="minorHAnsi"/>
                <w:sz w:val="22"/>
                <w:szCs w:val="22"/>
              </w:rPr>
              <w:t>e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przepis</w:t>
            </w:r>
            <w:r w:rsidR="00835973">
              <w:rPr>
                <w:rFonts w:asciiTheme="minorHAnsi" w:hAnsiTheme="minorHAnsi"/>
                <w:sz w:val="22"/>
                <w:szCs w:val="22"/>
              </w:rPr>
              <w:t>y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9DA0833" w14:textId="3BB71C17" w:rsidR="00A000E2" w:rsidRPr="00D92392" w:rsidRDefault="00FF5282" w:rsidP="00D92392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Poinform</w:t>
            </w:r>
            <w:r w:rsidR="00835973">
              <w:rPr>
                <w:rFonts w:asciiTheme="minorHAnsi" w:hAnsiTheme="minorHAnsi"/>
                <w:sz w:val="22"/>
                <w:szCs w:val="22"/>
              </w:rPr>
              <w:t>uj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o ro</w:t>
            </w:r>
            <w:r w:rsidR="00E32F51" w:rsidRPr="00D92392">
              <w:rPr>
                <w:rFonts w:asciiTheme="minorHAnsi" w:hAnsiTheme="minorHAnsi"/>
                <w:sz w:val="22"/>
                <w:szCs w:val="22"/>
              </w:rPr>
              <w:t>d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zajach odpowiedzialno</w:t>
            </w:r>
            <w:r w:rsidR="00E32F51" w:rsidRPr="00D92392">
              <w:rPr>
                <w:rFonts w:asciiTheme="minorHAnsi" w:hAnsiTheme="minorHAnsi"/>
                <w:sz w:val="22"/>
                <w:szCs w:val="22"/>
              </w:rPr>
              <w:t>ś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ci</w:t>
            </w:r>
            <w:r w:rsidR="00E32F51" w:rsidRPr="00D92392">
              <w:rPr>
                <w:rFonts w:asciiTheme="minorHAnsi" w:hAnsiTheme="minorHAnsi"/>
                <w:sz w:val="22"/>
                <w:szCs w:val="22"/>
              </w:rPr>
              <w:t>.</w:t>
            </w:r>
            <w:r w:rsidR="00A000E2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8E9BBD7" w14:textId="6E6293C2" w:rsidR="00E32F51" w:rsidRPr="00D92392" w:rsidRDefault="008351F3" w:rsidP="00D92392">
            <w:pPr>
              <w:pStyle w:val="Akapitzlist"/>
              <w:numPr>
                <w:ilvl w:val="0"/>
                <w:numId w:val="4"/>
              </w:numPr>
              <w:spacing w:before="120" w:after="120"/>
              <w:contextualSpacing w:val="0"/>
              <w:outlineLvl w:val="1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Utrwal </w:t>
            </w:r>
            <w:r w:rsidR="008D223E">
              <w:rPr>
                <w:rFonts w:asciiTheme="minorHAnsi" w:hAnsiTheme="minorHAnsi"/>
                <w:sz w:val="22"/>
                <w:szCs w:val="22"/>
              </w:rPr>
              <w:t>zrozumienie</w:t>
            </w:r>
            <w:r w:rsidR="009C12EF" w:rsidRPr="00D92392">
              <w:rPr>
                <w:rFonts w:asciiTheme="minorHAnsi" w:hAnsiTheme="minorHAnsi"/>
                <w:sz w:val="22"/>
                <w:szCs w:val="22"/>
              </w:rPr>
              <w:t xml:space="preserve"> obowiązujących zasad przez praktyczne omówienie dylematów etycznych</w:t>
            </w:r>
            <w:r w:rsidR="00795D06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0BEFD0C" w14:textId="4E3C4DD7" w:rsidR="003E072F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7A831CD9" wp14:editId="309B293E">
                  <wp:extent cx="4572638" cy="3429479"/>
                  <wp:effectExtent l="114300" t="114300" r="113665" b="152400"/>
                  <wp:docPr id="1" name="Obraz 1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C21E725" w14:textId="6E9A65F3" w:rsidR="00BA207F" w:rsidRPr="00D92392" w:rsidRDefault="003D4762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Przedstaw</w:t>
            </w:r>
            <w:r w:rsidR="006515ED" w:rsidRPr="00D92392">
              <w:rPr>
                <w:rFonts w:asciiTheme="minorHAnsi" w:hAnsiTheme="minorHAnsi"/>
                <w:sz w:val="22"/>
                <w:szCs w:val="22"/>
              </w:rPr>
              <w:t xml:space="preserve"> w kilku zdaniach plan wykładu.</w:t>
            </w:r>
          </w:p>
          <w:p w14:paraId="1227F4A0" w14:textId="3114CECC" w:rsidR="00BA207F" w:rsidRPr="00D92392" w:rsidRDefault="00BA207F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52099919" w14:textId="14113C1E" w:rsidR="006515ED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43C03C4" wp14:editId="39FCCA20">
                  <wp:extent cx="4572638" cy="3429479"/>
                  <wp:effectExtent l="114300" t="114300" r="113665" b="152400"/>
                  <wp:docPr id="7" name="Obraz 7" descr="Tytuł slajdu: Podstawy prawne infrastruktury etycznej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1C1DFF0" w14:textId="79A1D0DD" w:rsidR="00443620" w:rsidRPr="00D92392" w:rsidRDefault="003D4762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Wskaż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, że zasady </w:t>
            </w:r>
            <w:r w:rsidR="0055431F" w:rsidRPr="00D92392">
              <w:rPr>
                <w:rFonts w:asciiTheme="minorHAnsi" w:hAnsiTheme="minorHAnsi"/>
                <w:sz w:val="22"/>
                <w:szCs w:val="22"/>
              </w:rPr>
              <w:t>służby cywilnej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 i zasady etyki </w:t>
            </w:r>
            <w:r w:rsidR="0055431F" w:rsidRPr="00D92392">
              <w:rPr>
                <w:rFonts w:asciiTheme="minorHAnsi" w:hAnsiTheme="minorHAnsi"/>
                <w:sz w:val="22"/>
                <w:szCs w:val="22"/>
              </w:rPr>
              <w:t xml:space="preserve">korpusu służby cywilnej 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>mają źródło w Konstytucji</w:t>
            </w:r>
            <w:r w:rsidR="00DF23DA" w:rsidRPr="00D92392">
              <w:rPr>
                <w:rFonts w:asciiTheme="minorHAnsi" w:hAnsiTheme="minorHAnsi"/>
                <w:sz w:val="22"/>
                <w:szCs w:val="22"/>
              </w:rPr>
              <w:t>,</w:t>
            </w:r>
            <w:r w:rsidR="00094315" w:rsidRPr="00D92392">
              <w:rPr>
                <w:rFonts w:asciiTheme="minorHAnsi" w:hAnsiTheme="minorHAnsi"/>
                <w:sz w:val="22"/>
                <w:szCs w:val="22"/>
              </w:rPr>
              <w:t xml:space="preserve">  ustawie o s</w:t>
            </w:r>
            <w:r w:rsidR="00A540D5">
              <w:rPr>
                <w:rFonts w:asciiTheme="minorHAnsi" w:hAnsiTheme="minorHAnsi"/>
                <w:sz w:val="22"/>
                <w:szCs w:val="22"/>
              </w:rPr>
              <w:t>łużbie cywilnej</w:t>
            </w:r>
            <w:r w:rsidR="00DF23DA" w:rsidRPr="00D92392">
              <w:rPr>
                <w:rFonts w:asciiTheme="minorHAnsi" w:hAnsiTheme="minorHAnsi"/>
                <w:sz w:val="22"/>
                <w:szCs w:val="22"/>
              </w:rPr>
              <w:t xml:space="preserve"> oraz innych ustawach.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43620" w:rsidRPr="00D92392">
              <w:rPr>
                <w:rFonts w:asciiTheme="minorHAnsi" w:hAnsiTheme="minorHAnsi"/>
                <w:sz w:val="22"/>
                <w:szCs w:val="22"/>
              </w:rPr>
              <w:t xml:space="preserve">Ustawa </w:t>
            </w:r>
            <w:r w:rsidR="00DF23DA" w:rsidRPr="00D92392">
              <w:rPr>
                <w:rFonts w:asciiTheme="minorHAnsi" w:hAnsiTheme="minorHAnsi"/>
                <w:sz w:val="22"/>
                <w:szCs w:val="22"/>
              </w:rPr>
              <w:t>o s</w:t>
            </w:r>
            <w:r w:rsidR="00A540D5">
              <w:rPr>
                <w:rFonts w:asciiTheme="minorHAnsi" w:hAnsiTheme="minorHAnsi"/>
                <w:sz w:val="22"/>
                <w:szCs w:val="22"/>
              </w:rPr>
              <w:t>łużbie cywilnej</w:t>
            </w:r>
            <w:r w:rsidR="00DF23DA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43620" w:rsidRPr="00D92392">
              <w:rPr>
                <w:rFonts w:asciiTheme="minorHAnsi" w:hAnsiTheme="minorHAnsi"/>
                <w:sz w:val="22"/>
                <w:szCs w:val="22"/>
              </w:rPr>
              <w:t>daje także Prezesowi Rady Ministrów upoważnienie do wydania zarządzenia w sprawi</w:t>
            </w:r>
            <w:r w:rsidR="0069327E" w:rsidRPr="00D92392">
              <w:rPr>
                <w:rFonts w:asciiTheme="minorHAnsi" w:hAnsiTheme="minorHAnsi"/>
                <w:sz w:val="22"/>
                <w:szCs w:val="22"/>
              </w:rPr>
              <w:t>e</w:t>
            </w:r>
            <w:r w:rsidR="00443620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69327E" w:rsidRPr="00D92392">
              <w:rPr>
                <w:rFonts w:asciiTheme="minorHAnsi" w:hAnsiTheme="minorHAnsi"/>
                <w:sz w:val="22"/>
                <w:szCs w:val="22"/>
              </w:rPr>
              <w:t xml:space="preserve">określenia </w:t>
            </w:r>
            <w:r w:rsidR="00443620" w:rsidRPr="00D92392">
              <w:rPr>
                <w:rFonts w:asciiTheme="minorHAnsi" w:hAnsiTheme="minorHAnsi"/>
                <w:sz w:val="22"/>
                <w:szCs w:val="22"/>
              </w:rPr>
              <w:t>wytycznych w zakresie przestrzegania zasad służby cywilnej oraz zasad etyki korpusu służby cywilnej (Zarządzenie nr 70).</w:t>
            </w:r>
          </w:p>
          <w:p w14:paraId="05BC4C26" w14:textId="614BB3FC" w:rsidR="00DE796B" w:rsidRPr="00D92392" w:rsidRDefault="00E56BF1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Nie czytaj slajdu, zwróć 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>uwagę na 2</w:t>
            </w:r>
            <w:r w:rsidR="00DE796B" w:rsidRPr="00D92392">
              <w:rPr>
                <w:rFonts w:asciiTheme="minorHAnsi" w:hAnsiTheme="minorHAnsi" w:cs="Calibri"/>
                <w:sz w:val="22"/>
                <w:szCs w:val="22"/>
              </w:rPr>
              <w:t>‒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3 wybrane </w:t>
            </w:r>
            <w:r w:rsidR="00BF158D" w:rsidRPr="00D92392">
              <w:rPr>
                <w:rFonts w:asciiTheme="minorHAnsi" w:hAnsiTheme="minorHAnsi"/>
                <w:sz w:val="22"/>
                <w:szCs w:val="22"/>
              </w:rPr>
              <w:t>punkty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.   </w:t>
            </w:r>
          </w:p>
          <w:p w14:paraId="4D25375E" w14:textId="1405C5F0" w:rsidR="00F052D9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C873405" wp14:editId="3890E451">
                  <wp:extent cx="4572638" cy="3429479"/>
                  <wp:effectExtent l="114300" t="114300" r="113665" b="152400"/>
                  <wp:docPr id="8" name="Obraz 8" descr="Tytuł slajdu: Podstawy prawne infrastruktury etycznej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0B9A0BB" w14:textId="6B4EE727" w:rsidR="00DE796B" w:rsidRPr="00D92392" w:rsidRDefault="001027A8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 xml:space="preserve">Zacznij 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>od prośby o wymienienie pamiętanych zasad</w:t>
            </w:r>
            <w:r w:rsidR="00BF158D" w:rsidRPr="00D92392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A540D5">
              <w:rPr>
                <w:rFonts w:asciiTheme="minorHAnsi" w:hAnsiTheme="minorHAnsi"/>
                <w:sz w:val="22"/>
                <w:szCs w:val="22"/>
              </w:rPr>
              <w:t>łużby cywilnej</w:t>
            </w:r>
            <w:r w:rsidR="00BF158D" w:rsidRPr="00D92392">
              <w:rPr>
                <w:rFonts w:asciiTheme="minorHAnsi" w:hAnsiTheme="minorHAnsi"/>
                <w:sz w:val="22"/>
                <w:szCs w:val="22"/>
              </w:rPr>
              <w:t xml:space="preserve"> i zasad etyki korpusu s</w:t>
            </w:r>
            <w:r w:rsidR="00A540D5">
              <w:rPr>
                <w:rFonts w:asciiTheme="minorHAnsi" w:hAnsiTheme="minorHAnsi"/>
                <w:sz w:val="22"/>
                <w:szCs w:val="22"/>
              </w:rPr>
              <w:t>łużby cywilnej</w:t>
            </w:r>
            <w:r w:rsidR="00BF158D" w:rsidRPr="00D92392">
              <w:rPr>
                <w:rFonts w:asciiTheme="minorHAnsi" w:hAnsiTheme="minorHAnsi"/>
                <w:sz w:val="22"/>
                <w:szCs w:val="22"/>
              </w:rPr>
              <w:t>.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 Następnie 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pokaż 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>je</w:t>
            </w:r>
            <w:r w:rsidR="006855DC" w:rsidRPr="00D92392">
              <w:rPr>
                <w:rFonts w:asciiTheme="minorHAnsi" w:hAnsiTheme="minorHAnsi"/>
                <w:sz w:val="22"/>
                <w:szCs w:val="22"/>
              </w:rPr>
              <w:t xml:space="preserve"> na slajdzie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Wskaż</w:t>
            </w:r>
            <w:r w:rsidR="00944397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>te, które nie zostały wymienione. Nie omawia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j</w:t>
            </w:r>
            <w:r w:rsidR="00DE796B" w:rsidRPr="00D92392">
              <w:rPr>
                <w:rFonts w:asciiTheme="minorHAnsi" w:hAnsiTheme="minorHAnsi"/>
                <w:sz w:val="22"/>
                <w:szCs w:val="22"/>
              </w:rPr>
              <w:t xml:space="preserve"> szczegółowo. </w:t>
            </w:r>
          </w:p>
          <w:p w14:paraId="1CBE5B7B" w14:textId="722092E4" w:rsidR="00F052D9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6B017F5" wp14:editId="6F40BC9D">
                  <wp:extent cx="4572638" cy="3429479"/>
                  <wp:effectExtent l="114300" t="114300" r="113665" b="152400"/>
                  <wp:docPr id="10" name="Obraz 10" descr="Tytuł slajdu: Podstawy prawne infrastruktury etycznej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  <w:r w:rsidR="0097531C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17B78F7" w14:textId="4FEE47CE" w:rsidR="00C24DF0" w:rsidRPr="00D92392" w:rsidRDefault="00776093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Wskaż</w:t>
            </w:r>
            <w:r w:rsidR="00C24DF0" w:rsidRPr="00D92392">
              <w:rPr>
                <w:rFonts w:asciiTheme="minorHAnsi" w:hAnsiTheme="minorHAnsi"/>
                <w:sz w:val="22"/>
                <w:szCs w:val="22"/>
              </w:rPr>
              <w:t>, że przepisy dotyczące zasad i etyki znajdują się także w innych ustawach</w:t>
            </w:r>
            <w:r w:rsidR="00C36991" w:rsidRPr="00D92392">
              <w:rPr>
                <w:rFonts w:asciiTheme="minorHAnsi" w:hAnsiTheme="minorHAnsi"/>
                <w:sz w:val="22"/>
                <w:szCs w:val="22"/>
              </w:rPr>
              <w:t>, które są w materiałach dla uczestników</w:t>
            </w:r>
            <w:r w:rsidR="00C24DF0" w:rsidRPr="00D92392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  <w:p w14:paraId="2051E507" w14:textId="00D75E60" w:rsidR="003B280E" w:rsidRPr="00D92392" w:rsidRDefault="00C24DF0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Przy Kpa warto podkreślić przywołanie zasady, że organy administracji publicznej działają na podstawie przepisów prawa oraz że prowadzą postępowanie w sposób budzący zaufanie jego uczestników do władzy publicznej.</w:t>
            </w:r>
          </w:p>
          <w:p w14:paraId="614C3EBF" w14:textId="511899AA" w:rsidR="007716AE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37CBF8EF" wp14:editId="7D4EFF9A">
                  <wp:extent cx="4572638" cy="3429479"/>
                  <wp:effectExtent l="114300" t="114300" r="113665" b="152400"/>
                  <wp:docPr id="13" name="Obraz 13" descr="Tytuł slajdu: Zasada legalizmu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DBF146A" w14:textId="19D62278" w:rsidR="00EF6A96" w:rsidRPr="00D92392" w:rsidRDefault="00EF6A96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Rozpocznij od pytania</w:t>
            </w:r>
            <w:r w:rsidR="00580CBD" w:rsidRPr="00D92392">
              <w:rPr>
                <w:rFonts w:asciiTheme="minorHAnsi" w:hAnsiTheme="minorHAnsi"/>
                <w:sz w:val="22"/>
                <w:szCs w:val="22"/>
              </w:rPr>
              <w:t>, które odnosi się do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zasady legalizmu. Poproś o odpowiedzi</w:t>
            </w:r>
            <w:r w:rsidR="00CE39F4" w:rsidRPr="00D92392">
              <w:rPr>
                <w:rFonts w:asciiTheme="minorHAnsi" w:hAnsiTheme="minorHAnsi"/>
                <w:sz w:val="22"/>
                <w:szCs w:val="22"/>
              </w:rPr>
              <w:t xml:space="preserve"> odnoś</w:t>
            </w:r>
            <w:r w:rsidR="00C54954" w:rsidRPr="00D92392">
              <w:rPr>
                <w:rFonts w:asciiTheme="minorHAnsi" w:hAnsiTheme="minorHAnsi"/>
                <w:sz w:val="22"/>
                <w:szCs w:val="22"/>
              </w:rPr>
              <w:t xml:space="preserve">nie </w:t>
            </w:r>
            <w:r w:rsidR="00580CBD" w:rsidRPr="00D92392">
              <w:rPr>
                <w:rFonts w:asciiTheme="minorHAnsi" w:hAnsiTheme="minorHAnsi"/>
                <w:sz w:val="22"/>
                <w:szCs w:val="22"/>
              </w:rPr>
              <w:t xml:space="preserve">do </w:t>
            </w:r>
            <w:r w:rsidR="00C54954" w:rsidRPr="00D92392">
              <w:rPr>
                <w:rFonts w:asciiTheme="minorHAnsi" w:hAnsiTheme="minorHAnsi"/>
                <w:sz w:val="22"/>
                <w:szCs w:val="22"/>
              </w:rPr>
              <w:t>stosowania dwóch zasad prawnych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. Następnie pokaż prawidłowe odpowiedzi na slajdzie. </w:t>
            </w:r>
          </w:p>
          <w:p w14:paraId="467EE646" w14:textId="1B4A00F7" w:rsidR="00EF6A96" w:rsidRPr="00D92392" w:rsidRDefault="00EF6A96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Podkreśl, że administracja nie może działać na zasadzie</w:t>
            </w:r>
            <w:r w:rsidR="00544517" w:rsidRPr="00D92392">
              <w:rPr>
                <w:rFonts w:asciiTheme="minorHAnsi" w:hAnsiTheme="minorHAnsi"/>
                <w:sz w:val="22"/>
                <w:szCs w:val="22"/>
              </w:rPr>
              <w:t xml:space="preserve"> „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co nie jest zabronione – to jest dozwolone”. To jest zasada wolności i praw obywatelskich. Do administracji stosuje się zasada odwrotna: może robić jedynie to, do czego upoważniają ją przepisy prawne. To też gwarancja praw i wolności obywatelskich. </w:t>
            </w:r>
          </w:p>
          <w:p w14:paraId="0D54D503" w14:textId="41346EC6" w:rsidR="00EF6A96" w:rsidRPr="00D92392" w:rsidRDefault="00EF6A96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Wskaż, że zasada ta ma oparcie w art. 7 Konstytucji</w:t>
            </w:r>
            <w:r w:rsidR="002C1081" w:rsidRPr="00D92392">
              <w:rPr>
                <w:rFonts w:asciiTheme="minorHAnsi" w:hAnsiTheme="minorHAnsi"/>
                <w:sz w:val="22"/>
                <w:szCs w:val="22"/>
              </w:rPr>
              <w:t xml:space="preserve"> RP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. „Na podstawie” – czyli organ musi mieć przepis, który go upoważni do zajmowania się daną sprawą. „W granicach” – czyli w sposób określony w tym przepisie. </w:t>
            </w:r>
          </w:p>
          <w:p w14:paraId="72140E81" w14:textId="20C6FE08" w:rsidR="00EF6A96" w:rsidRPr="00D92392" w:rsidRDefault="00EF6A96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Zapytaj, czym są organy władzy publicznej.</w:t>
            </w:r>
            <w:r w:rsidR="00544517" w:rsidRPr="00D92392">
              <w:rPr>
                <w:rFonts w:asciiTheme="minorHAnsi" w:hAnsiTheme="minorHAnsi"/>
                <w:sz w:val="22"/>
                <w:szCs w:val="22"/>
              </w:rPr>
              <w:t xml:space="preserve"> W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skaż, że są nimi np. rada ministrów i minister. Administracja działa z upoważnienia organów władzy i / lub bezpośredniego upoważnienia ustawowego i jej też dotyczy ta zasada.  </w:t>
            </w:r>
          </w:p>
          <w:p w14:paraId="19837A3F" w14:textId="7EF6E0D5" w:rsidR="00FD6A6B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601C57DE" wp14:editId="6F5CB434">
                  <wp:extent cx="4572638" cy="3429479"/>
                  <wp:effectExtent l="114300" t="114300" r="113665" b="152400"/>
                  <wp:docPr id="14" name="Obraz 14" descr="Tytuł slajdu: Odpowiedzialność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D67874E" w14:textId="078F2D50" w:rsidR="00FD6A6B" w:rsidRPr="00D92392" w:rsidRDefault="00F134F4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Omów pokrótce zasady odpowiedzialności dyscyplinarnej określone w</w:t>
            </w:r>
            <w:r w:rsidRPr="00D92392" w:rsidDel="00F134F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24DF0" w:rsidRPr="00D92392">
              <w:rPr>
                <w:rFonts w:asciiTheme="minorHAnsi" w:hAnsiTheme="minorHAnsi"/>
                <w:sz w:val="22"/>
                <w:szCs w:val="22"/>
              </w:rPr>
              <w:t>ustaw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>ie</w:t>
            </w:r>
            <w:r w:rsidR="00C24DF0" w:rsidRPr="00D92392">
              <w:rPr>
                <w:rFonts w:asciiTheme="minorHAnsi" w:hAnsiTheme="minorHAnsi"/>
                <w:sz w:val="22"/>
                <w:szCs w:val="22"/>
              </w:rPr>
              <w:t xml:space="preserve"> o służbie cywilnej. Ich treść jest przytoczona w materiałach dla uczestników. </w:t>
            </w:r>
            <w:r w:rsidR="00C04AA7" w:rsidRPr="00D923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E128B1C" w14:textId="253DAA22" w:rsidR="00293367" w:rsidRPr="00D92392" w:rsidRDefault="00753C9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753C9A">
              <w:rPr>
                <w:rFonts w:asciiTheme="minorHAnsi" w:hAnsiTheme="minorHAnsi"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9B4A1AF" wp14:editId="10ABB9FF">
                  <wp:extent cx="4572638" cy="3429479"/>
                  <wp:effectExtent l="114300" t="114300" r="113665" b="152400"/>
                  <wp:docPr id="15" name="Obraz 15" descr="Tytuł slajdu: Odpowiedzialność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14849B3" w14:textId="4FC3316C" w:rsidR="00C24DF0" w:rsidRPr="00D92392" w:rsidRDefault="00C24DF0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>Wska</w:t>
            </w:r>
            <w:r w:rsidR="00637321" w:rsidRPr="00D92392">
              <w:rPr>
                <w:rFonts w:asciiTheme="minorHAnsi" w:hAnsiTheme="minorHAnsi"/>
                <w:sz w:val="22"/>
                <w:szCs w:val="22"/>
              </w:rPr>
              <w:t>ż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na </w:t>
            </w:r>
            <w:r w:rsidR="00B4752B" w:rsidRPr="00D92392">
              <w:rPr>
                <w:rFonts w:asciiTheme="minorHAnsi" w:hAnsiTheme="minorHAnsi"/>
                <w:sz w:val="22"/>
                <w:szCs w:val="22"/>
              </w:rPr>
              <w:t>czyny podlegające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 odpowiedzialności karnej. </w:t>
            </w:r>
            <w:r w:rsidR="00B4752B" w:rsidRPr="00D92392">
              <w:rPr>
                <w:rFonts w:asciiTheme="minorHAnsi" w:hAnsiTheme="minorHAnsi"/>
                <w:sz w:val="22"/>
                <w:szCs w:val="22"/>
              </w:rPr>
              <w:t>Szczegółowa t</w:t>
            </w:r>
            <w:r w:rsidRPr="00D92392">
              <w:rPr>
                <w:rFonts w:asciiTheme="minorHAnsi" w:hAnsiTheme="minorHAnsi"/>
                <w:sz w:val="22"/>
                <w:szCs w:val="22"/>
              </w:rPr>
              <w:t xml:space="preserve">reść przepisów jest przytoczona w materiałach dla uczestników. </w:t>
            </w:r>
          </w:p>
          <w:p w14:paraId="58CA4A14" w14:textId="63711ECA" w:rsidR="00D8644D" w:rsidRPr="00D92392" w:rsidRDefault="00B4752B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D92392">
              <w:rPr>
                <w:rFonts w:asciiTheme="minorHAnsi" w:hAnsiTheme="minorHAnsi"/>
                <w:sz w:val="22"/>
                <w:szCs w:val="22"/>
              </w:rPr>
              <w:t xml:space="preserve">Znaczna szkoda majątkowa </w:t>
            </w:r>
            <w:r w:rsidR="00D8644D" w:rsidRPr="00D92392">
              <w:rPr>
                <w:rFonts w:asciiTheme="minorHAnsi" w:hAnsiTheme="minorHAnsi"/>
                <w:sz w:val="22"/>
                <w:szCs w:val="22"/>
              </w:rPr>
              <w:t xml:space="preserve">to szkoda w wysokości przekraczającej dwustukrotną wysokość najniższego miesięcznego wynagrodzenia. Obecnie – 400 000 zł. </w:t>
            </w:r>
          </w:p>
          <w:p w14:paraId="49628624" w14:textId="023A45E7" w:rsidR="00B4752B" w:rsidRPr="00D92392" w:rsidRDefault="00B4752B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</w:p>
          <w:p w14:paraId="457BEFFA" w14:textId="77777777" w:rsidR="005E19D6" w:rsidRPr="00E215D3" w:rsidRDefault="005E19D6" w:rsidP="005E19D6">
            <w:pPr>
              <w:spacing w:before="120" w:after="120"/>
              <w:outlineLvl w:val="1"/>
              <w:rPr>
                <w:rFonts w:asciiTheme="minorHAnsi" w:hAnsiTheme="minorHAnsi"/>
                <w:b/>
                <w:sz w:val="22"/>
                <w:szCs w:val="22"/>
              </w:rPr>
            </w:pPr>
            <w:r w:rsidRPr="00107338">
              <w:rPr>
                <w:rFonts w:asciiTheme="minorHAnsi" w:hAnsiTheme="minorHAnsi"/>
                <w:b/>
                <w:sz w:val="22"/>
                <w:szCs w:val="22"/>
              </w:rPr>
              <w:t>Ćwiczenie 1</w:t>
            </w:r>
          </w:p>
          <w:p w14:paraId="6047FC14" w14:textId="44904F86" w:rsidR="0056064A" w:rsidRPr="00D92392" w:rsidRDefault="00A6798A" w:rsidP="00D92392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917DC8">
              <w:rPr>
                <w:rFonts w:asciiTheme="minorHAnsi" w:hAnsiTheme="minorHAnsi"/>
                <w:sz w:val="22"/>
                <w:szCs w:val="22"/>
              </w:rPr>
              <w:t xml:space="preserve">Słuchaczy </w:t>
            </w:r>
            <w:r>
              <w:rPr>
                <w:rFonts w:asciiTheme="minorHAnsi" w:hAnsiTheme="minorHAnsi"/>
                <w:sz w:val="22"/>
                <w:szCs w:val="22"/>
              </w:rPr>
              <w:t>podziel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na trzy </w:t>
            </w:r>
            <w:r>
              <w:rPr>
                <w:rFonts w:asciiTheme="minorHAnsi" w:hAnsiTheme="minorHAnsi"/>
                <w:sz w:val="22"/>
                <w:szCs w:val="22"/>
              </w:rPr>
              <w:t>zespoły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>. Każd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będzie analizować pięć przypadków. </w:t>
            </w:r>
            <w:r>
              <w:rPr>
                <w:rFonts w:asciiTheme="minorHAnsi" w:hAnsiTheme="minorHAnsi"/>
                <w:sz w:val="22"/>
                <w:szCs w:val="22"/>
              </w:rPr>
              <w:t>Następnie l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ider </w:t>
            </w:r>
            <w:r>
              <w:rPr>
                <w:rFonts w:asciiTheme="minorHAnsi" w:hAnsiTheme="minorHAnsi"/>
                <w:sz w:val="22"/>
                <w:szCs w:val="22"/>
              </w:rPr>
              <w:t>zespołu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 prezentuje ustalenia, ew. dodatkowo jest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przedstawiany </w:t>
            </w:r>
            <w:r w:rsidRPr="00917DC8">
              <w:rPr>
                <w:rFonts w:asciiTheme="minorHAnsi" w:hAnsiTheme="minorHAnsi"/>
                <w:sz w:val="22"/>
                <w:szCs w:val="22"/>
              </w:rPr>
              <w:t xml:space="preserve">głos mniejszości. </w:t>
            </w:r>
            <w:r w:rsidR="00E4469B" w:rsidRPr="00D92392">
              <w:rPr>
                <w:rFonts w:asciiTheme="minorHAnsi" w:hAnsiTheme="minorHAnsi"/>
                <w:sz w:val="22"/>
                <w:szCs w:val="22"/>
              </w:rPr>
              <w:t>Rekomendowane odpowiedzi:</w:t>
            </w:r>
          </w:p>
          <w:tbl>
            <w:tblPr>
              <w:tblStyle w:val="Tabela-Siatka"/>
              <w:tblW w:w="7721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2579"/>
              <w:gridCol w:w="908"/>
              <w:gridCol w:w="1811"/>
              <w:gridCol w:w="1943"/>
            </w:tblGrid>
            <w:tr w:rsidR="003D4762" w:rsidRPr="00D92392" w14:paraId="42E6E6E7" w14:textId="77777777" w:rsidTr="003D4762">
              <w:tc>
                <w:tcPr>
                  <w:tcW w:w="480" w:type="dxa"/>
                  <w:vAlign w:val="center"/>
                </w:tcPr>
                <w:p w14:paraId="6E57F9F2" w14:textId="77777777" w:rsidR="0056064A" w:rsidRPr="00D92392" w:rsidRDefault="0056064A" w:rsidP="00D92392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579" w:type="dxa"/>
                  <w:vAlign w:val="center"/>
                </w:tcPr>
                <w:p w14:paraId="401CA868" w14:textId="77777777" w:rsidR="0056064A" w:rsidRPr="00D92392" w:rsidRDefault="0056064A" w:rsidP="00D92392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Zachowanie / czynność</w:t>
                  </w:r>
                </w:p>
              </w:tc>
              <w:tc>
                <w:tcPr>
                  <w:tcW w:w="908" w:type="dxa"/>
                  <w:vAlign w:val="center"/>
                </w:tcPr>
                <w:p w14:paraId="26758269" w14:textId="77777777" w:rsidR="0056064A" w:rsidRPr="00D92392" w:rsidRDefault="0056064A" w:rsidP="00D92392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Nie narusza</w:t>
                  </w:r>
                </w:p>
              </w:tc>
              <w:tc>
                <w:tcPr>
                  <w:tcW w:w="1811" w:type="dxa"/>
                  <w:vAlign w:val="center"/>
                </w:tcPr>
                <w:p w14:paraId="0518CDD1" w14:textId="77777777" w:rsidR="0056064A" w:rsidRPr="00D92392" w:rsidRDefault="0056064A" w:rsidP="00D92392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To zależy</w:t>
                  </w:r>
                </w:p>
              </w:tc>
              <w:tc>
                <w:tcPr>
                  <w:tcW w:w="1943" w:type="dxa"/>
                  <w:vAlign w:val="center"/>
                </w:tcPr>
                <w:p w14:paraId="239C6BF9" w14:textId="77777777" w:rsidR="0056064A" w:rsidRPr="00D92392" w:rsidRDefault="0056064A" w:rsidP="00D92392">
                  <w:pPr>
                    <w:spacing w:before="120" w:after="120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Narusza</w:t>
                  </w:r>
                </w:p>
              </w:tc>
            </w:tr>
            <w:tr w:rsidR="003D4762" w:rsidRPr="00D92392" w14:paraId="223829C6" w14:textId="77777777" w:rsidTr="003D4762">
              <w:tc>
                <w:tcPr>
                  <w:tcW w:w="480" w:type="dxa"/>
                </w:tcPr>
                <w:p w14:paraId="2F3515A5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579" w:type="dxa"/>
                </w:tcPr>
                <w:p w14:paraId="228C19BC" w14:textId="03CD0ADB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Skorzystanie z samochodu służbowego na powrót wieczorem do domu w sytuacji, gdy szef zlecił pilne zadania do wykonania po standardowych godzinach pracy. </w:t>
                  </w:r>
                </w:p>
              </w:tc>
              <w:tc>
                <w:tcPr>
                  <w:tcW w:w="908" w:type="dxa"/>
                </w:tcPr>
                <w:p w14:paraId="73C3FD0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0CE5360" w14:textId="100D466D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Uzasadnione, gdy ze względu na okoliczności powrót komunikacją publiczną byłby utrudniony.</w:t>
                  </w:r>
                </w:p>
              </w:tc>
              <w:tc>
                <w:tcPr>
                  <w:tcW w:w="1943" w:type="dxa"/>
                </w:tcPr>
                <w:p w14:paraId="46616A4F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259645A7" w14:textId="77777777" w:rsidTr="003D4762">
              <w:tc>
                <w:tcPr>
                  <w:tcW w:w="480" w:type="dxa"/>
                </w:tcPr>
                <w:p w14:paraId="5FA758EF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579" w:type="dxa"/>
                </w:tcPr>
                <w:p w14:paraId="320BB805" w14:textId="65A15ED9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Korzystanie z sieci społecznościowych / sprawdzanie e-maili prywatnych w internecie w czasie pracy na sprzęcie prywatnym.</w:t>
                  </w:r>
                </w:p>
              </w:tc>
              <w:tc>
                <w:tcPr>
                  <w:tcW w:w="908" w:type="dxa"/>
                </w:tcPr>
                <w:p w14:paraId="069F609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2B48A931" w14:textId="48FEB184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Dopuszczalne incydentalnie (pilna sprawa rodzinna, oczekiwanie przed salą na spotkanie, przerwa kawowa na zebraniu), bez publikowania postów prywatnych w czasie pracy. </w:t>
                  </w:r>
                </w:p>
              </w:tc>
              <w:tc>
                <w:tcPr>
                  <w:tcW w:w="1943" w:type="dxa"/>
                </w:tcPr>
                <w:p w14:paraId="6DECE965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 – co do zasady.</w:t>
                  </w:r>
                </w:p>
                <w:p w14:paraId="1D8F82B6" w14:textId="1641CA55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2DEA7764" w14:textId="77777777" w:rsidTr="003D4762">
              <w:tc>
                <w:tcPr>
                  <w:tcW w:w="480" w:type="dxa"/>
                </w:tcPr>
                <w:p w14:paraId="10FAE0BA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579" w:type="dxa"/>
                </w:tcPr>
                <w:p w14:paraId="76A50C81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Nabijanie mil na kartach premiowych linii lotniczych za wyjazdy służbowe, nabijanie punktów na kartach lojalnościowych za zakupy służbowe.</w:t>
                  </w:r>
                </w:p>
                <w:p w14:paraId="038BF6DF" w14:textId="75AFF50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2B8A7E70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7B2155B7" w14:textId="37B0ACFE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Dopuszczalne tylko, gdy mile czy punkty wymienia się na bilety czy bonusy na potrzeby służbowe, a nie na prywatne.</w:t>
                  </w:r>
                </w:p>
              </w:tc>
              <w:tc>
                <w:tcPr>
                  <w:tcW w:w="1943" w:type="dxa"/>
                </w:tcPr>
                <w:p w14:paraId="48E2552D" w14:textId="48702196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59A05286" w14:textId="77777777" w:rsidTr="003D4762">
              <w:tc>
                <w:tcPr>
                  <w:tcW w:w="480" w:type="dxa"/>
                </w:tcPr>
                <w:p w14:paraId="16F2FB37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579" w:type="dxa"/>
                </w:tcPr>
                <w:p w14:paraId="6FF69DBA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Przyspieszenie załatwienia sprawy na prośbę interesanta (przesunięcie w kolejce lub załatwienie poza kolejką).</w:t>
                  </w:r>
                </w:p>
                <w:p w14:paraId="029C3631" w14:textId="4D50D63E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DD794AC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26F5E09" w14:textId="2737AAA6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Dopuszczalne, jeżeli uzasadnia to sytuacja interesanta, nie przyjmujemy za to korzyści, nie opóźniamy znacząco załatwienia spraw innych interesantów. </w:t>
                  </w:r>
                </w:p>
              </w:tc>
              <w:tc>
                <w:tcPr>
                  <w:tcW w:w="1943" w:type="dxa"/>
                </w:tcPr>
                <w:p w14:paraId="557737B1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7C837D67" w14:textId="77777777" w:rsidTr="003D4762">
              <w:tc>
                <w:tcPr>
                  <w:tcW w:w="480" w:type="dxa"/>
                </w:tcPr>
                <w:p w14:paraId="768AB49F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579" w:type="dxa"/>
                </w:tcPr>
                <w:p w14:paraId="42401EB7" w14:textId="45DF3F8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Wychodzenie „na chwilę” do innego urzędu w sprawach prywatnych, gdy godziny urzędowania innego urzędu pokrywają się z naszymi godzinami pracy.</w:t>
                  </w:r>
                </w:p>
              </w:tc>
              <w:tc>
                <w:tcPr>
                  <w:tcW w:w="908" w:type="dxa"/>
                </w:tcPr>
                <w:p w14:paraId="30E71C2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2D2F3366" w14:textId="3D2DAAF5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Dopuszczalne incydentalnie, na zasadach określonych w regulaminie pracy, za zezwoleniem przełożonego, pod warunkiem oddania czasu pracodawcy.</w:t>
                  </w:r>
                </w:p>
              </w:tc>
              <w:tc>
                <w:tcPr>
                  <w:tcW w:w="1943" w:type="dxa"/>
                </w:tcPr>
                <w:p w14:paraId="06D38AE1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7D81F964" w14:textId="77777777" w:rsidTr="003D4762">
              <w:tc>
                <w:tcPr>
                  <w:tcW w:w="480" w:type="dxa"/>
                </w:tcPr>
                <w:p w14:paraId="5B6EC3F0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579" w:type="dxa"/>
                </w:tcPr>
                <w:p w14:paraId="435FC134" w14:textId="56476355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Przyjmowanie drobnych gadżetów promocyjno-reklamowych od firm na konferencjach, targach, wystawach, uroczystościach itp.</w:t>
                  </w:r>
                </w:p>
              </w:tc>
              <w:tc>
                <w:tcPr>
                  <w:tcW w:w="908" w:type="dxa"/>
                </w:tcPr>
                <w:p w14:paraId="4B83BAC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7A0A0A3" w14:textId="2CD20D95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Nie od firm, które pozostają w relacjach z urzędem (zamówienia, decyzje, z sektora regulowanego lub nadzorowanego)</w:t>
                  </w:r>
                  <w:r w:rsidR="00C962BF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 lub mogą </w:t>
                  </w:r>
                  <w:r w:rsidR="00913819" w:rsidRPr="00D92392">
                    <w:rPr>
                      <w:rFonts w:asciiTheme="minorHAnsi" w:hAnsiTheme="minorHAnsi"/>
                      <w:sz w:val="22"/>
                      <w:szCs w:val="22"/>
                    </w:rPr>
                    <w:t>w takich relacjach pozostawać w przyszłości</w:t>
                  </w: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943" w:type="dxa"/>
                </w:tcPr>
                <w:p w14:paraId="083F3FDF" w14:textId="69A9A715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1478ABB7" w14:textId="77777777" w:rsidTr="003D4762">
              <w:tc>
                <w:tcPr>
                  <w:tcW w:w="480" w:type="dxa"/>
                </w:tcPr>
                <w:p w14:paraId="7E49780C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579" w:type="dxa"/>
                </w:tcPr>
                <w:p w14:paraId="0A831568" w14:textId="1EB1652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Udokumentowanie pewnych podjętych czynności niezgodnie z ich rzeczywistym przebiegiem, aby zapobiec opóźnieniom (np. członek komisji konkursowej</w:t>
                  </w:r>
                  <w:r w:rsidR="00EC4EC2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 nieobecny na posiedzeniu</w:t>
                  </w: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 składa podpis na liście obecności po zakończeniu posiedzenia, aby udokumentować kworum, inaczej posiedzenie trzeba by było przenieść na kolejny miesiąc).</w:t>
                  </w:r>
                </w:p>
                <w:p w14:paraId="638F54FA" w14:textId="511EC7D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0CBBD4F6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CE5A88D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5C0F7B95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5904F6F8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Może to stanowić przestępstwo przeciw dokumentom. </w:t>
                  </w:r>
                </w:p>
                <w:p w14:paraId="317FF221" w14:textId="2E835AE4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Dokumentacja musi być rzetelna, prawnicy ocenią, czy odstępstwo od procedury było istotne. </w:t>
                  </w:r>
                </w:p>
              </w:tc>
            </w:tr>
            <w:tr w:rsidR="003D4762" w:rsidRPr="00D92392" w14:paraId="45245594" w14:textId="77777777" w:rsidTr="003D4762">
              <w:tc>
                <w:tcPr>
                  <w:tcW w:w="480" w:type="dxa"/>
                </w:tcPr>
                <w:p w14:paraId="74604925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579" w:type="dxa"/>
                </w:tcPr>
                <w:p w14:paraId="2CE2FD17" w14:textId="3C01734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Nieprzestrzeganie nieżyciowych (wg Ciebie) procedur bezpieczeństwa informatycznego (np. przesyłanie plików służbowych na konta prywatne, aby móc popracować nad nimi wieczorem w domu, gdy muszą być gotowe na następny dzień)</w:t>
                  </w:r>
                  <w:r w:rsidR="00EC4EC2" w:rsidRPr="00D92392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14:paraId="1B141D85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DBD39B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043FA7E1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0F5B85AF" w14:textId="1918111F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Należy wystąpić o zmianę procedur lub o rozwiązanie techniczne, np. służbowego laptopa. </w:t>
                  </w:r>
                </w:p>
              </w:tc>
            </w:tr>
            <w:tr w:rsidR="003D4762" w:rsidRPr="00D92392" w14:paraId="6EFC5803" w14:textId="77777777" w:rsidTr="003D4762">
              <w:tc>
                <w:tcPr>
                  <w:tcW w:w="480" w:type="dxa"/>
                </w:tcPr>
                <w:p w14:paraId="1DF3E1CA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579" w:type="dxa"/>
                </w:tcPr>
                <w:p w14:paraId="4B559672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Chwalenie się znajomościami „u góry” (kierownictwo, politycy) „Dzwoniłem wczoraj do X, ale nie mógł długo rozmawiać. Wiadomo, ministrowie są zajęci”.</w:t>
                  </w:r>
                </w:p>
                <w:p w14:paraId="3029BFC0" w14:textId="5065DF7C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4CADF986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94A5C2D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281054E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44BF03AA" w14:textId="15955D83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Może stanowić zwykłe chwalipięctwo, a może być próbą uzyskania specjalnej pozycji.</w:t>
                  </w:r>
                </w:p>
              </w:tc>
            </w:tr>
            <w:tr w:rsidR="003D4762" w:rsidRPr="00D92392" w14:paraId="37BA499F" w14:textId="77777777" w:rsidTr="003D4762">
              <w:tc>
                <w:tcPr>
                  <w:tcW w:w="480" w:type="dxa"/>
                </w:tcPr>
                <w:p w14:paraId="61C96153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579" w:type="dxa"/>
                </w:tcPr>
                <w:p w14:paraId="05A79F46" w14:textId="080391A9" w:rsidR="00514F0F" w:rsidRPr="00D92392" w:rsidRDefault="005A5666" w:rsidP="005A5666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Zwrócenie się d</w:t>
                  </w:r>
                  <w:r w:rsidR="00514F0F" w:rsidRPr="00D92392">
                    <w:rPr>
                      <w:rFonts w:asciiTheme="minorHAnsi" w:hAnsiTheme="minorHAnsi"/>
                      <w:sz w:val="22"/>
                      <w:szCs w:val="22"/>
                    </w:rPr>
                    <w:t>o koleżanki przy innych koleżankach: „Rób jak ci mówię. Ja to studiowałam i nie mam ci teraz czasu tego tłumaczyć”.</w:t>
                  </w:r>
                </w:p>
              </w:tc>
              <w:tc>
                <w:tcPr>
                  <w:tcW w:w="908" w:type="dxa"/>
                </w:tcPr>
                <w:p w14:paraId="0A95E60C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33A714E1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72611AC2" w14:textId="77777777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2BD8D042" w14:textId="2B232091" w:rsidR="00514F0F" w:rsidRPr="00D92392" w:rsidRDefault="00514F0F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Forma może być odebrana jako publiczne poniżenie.</w:t>
                  </w:r>
                  <w:r w:rsidR="00F557A1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3D4762" w:rsidRPr="00D92392" w14:paraId="2881E730" w14:textId="77777777" w:rsidTr="003D4762">
              <w:tc>
                <w:tcPr>
                  <w:tcW w:w="480" w:type="dxa"/>
                </w:tcPr>
                <w:p w14:paraId="00A723D8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579" w:type="dxa"/>
                </w:tcPr>
                <w:p w14:paraId="1A03E141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Wykorzystywanie pomysłów współpracowników jako swoich w materiałach dla przełożonych.</w:t>
                  </w:r>
                </w:p>
                <w:p w14:paraId="2716C919" w14:textId="18567820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02D7D54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5C2DDC2A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73171824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666414E1" w14:textId="58061749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Pracujemy zespołowo, ale autorowi dobrego pomysłu należy oddać przed szefem zasługę.</w:t>
                  </w:r>
                </w:p>
              </w:tc>
            </w:tr>
            <w:tr w:rsidR="003D4762" w:rsidRPr="00D92392" w14:paraId="262F6BC1" w14:textId="77777777" w:rsidTr="003D4762">
              <w:tc>
                <w:tcPr>
                  <w:tcW w:w="480" w:type="dxa"/>
                </w:tcPr>
                <w:p w14:paraId="1A8EE20C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2579" w:type="dxa"/>
                </w:tcPr>
                <w:p w14:paraId="0F9BA725" w14:textId="40F97B06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Korzystanie z internetu w sprawach prywatnych (mail, strony www, sieci społecznościowe) w godzinach pracy na sprzęcie służbowym.</w:t>
                  </w:r>
                </w:p>
              </w:tc>
              <w:tc>
                <w:tcPr>
                  <w:tcW w:w="908" w:type="dxa"/>
                </w:tcPr>
                <w:p w14:paraId="6167EC50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AE1A9E7" w14:textId="7128F0E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Może być dopuszczalne incydentalnie, np. pilna sprawa osobista, gdy nie wziąłem prywatnego smartfona, ze świadomością, że taka komunikacja może być monitorowana przez pracodawcę oraz jeżeli nie łamie to zakazu wynikającego z polityk i procedur systemu zarządzania bezpieczeństwem informacji. </w:t>
                  </w:r>
                </w:p>
              </w:tc>
              <w:tc>
                <w:tcPr>
                  <w:tcW w:w="1943" w:type="dxa"/>
                </w:tcPr>
                <w:p w14:paraId="4AAEB34C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 – co do zasady.</w:t>
                  </w:r>
                </w:p>
                <w:p w14:paraId="6E3FF1E2" w14:textId="20A5D09F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3D4762" w:rsidRPr="00D92392" w14:paraId="6E5310BC" w14:textId="77777777" w:rsidTr="003D4762">
              <w:tc>
                <w:tcPr>
                  <w:tcW w:w="480" w:type="dxa"/>
                </w:tcPr>
                <w:p w14:paraId="0445A050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579" w:type="dxa"/>
                </w:tcPr>
                <w:p w14:paraId="46715545" w14:textId="18ED055D" w:rsidR="00093F6C" w:rsidRPr="00D92392" w:rsidRDefault="00EF60A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Plotkowanie</w:t>
                  </w:r>
                  <w:r w:rsidR="00093F6C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na korytarzu </w:t>
                  </w:r>
                  <w:r w:rsidR="00093F6C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(„Słyszałeś? X ma niedługo wylecieć, to za ten zawalony projekt, że to się tak długo ciągnęło, ciekawe kto poleci razem z nim / Y ma niedługo awansować i chce, żeby zastąpił go Z, ale podobno generalny ma już kogoś na to miejsce”). Przekazywanie </w:t>
                  </w:r>
                  <w:r w:rsidR="00F012EF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plotek </w:t>
                  </w:r>
                  <w:r w:rsidR="00093F6C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dalej. </w:t>
                  </w:r>
                </w:p>
                <w:p w14:paraId="7E23BE54" w14:textId="279F16B2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908" w:type="dxa"/>
                </w:tcPr>
                <w:p w14:paraId="3C498F3B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6D08A7DE" w14:textId="3771EEE6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001CDCE6" w14:textId="24367AE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X – </w:t>
                  </w:r>
                  <w:r w:rsidR="00470CC7"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nie plotkujemy, nie przekazujemy plotek dalej. </w:t>
                  </w:r>
                </w:p>
              </w:tc>
            </w:tr>
            <w:tr w:rsidR="003D4762" w:rsidRPr="00D92392" w14:paraId="61A141E6" w14:textId="77777777" w:rsidTr="003D4762">
              <w:tc>
                <w:tcPr>
                  <w:tcW w:w="480" w:type="dxa"/>
                </w:tcPr>
                <w:p w14:paraId="03B5EA72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579" w:type="dxa"/>
                </w:tcPr>
                <w:p w14:paraId="74EFD9B9" w14:textId="3C5CC1BE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Wykorzystywanie sprzętu służbowego dla celów prywatnych (w tym kserowanie podręczników/materiałów ze studiów etc., zadzwonienie do lekarza).</w:t>
                  </w:r>
                </w:p>
              </w:tc>
              <w:tc>
                <w:tcPr>
                  <w:tcW w:w="908" w:type="dxa"/>
                </w:tcPr>
                <w:p w14:paraId="308084E5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D77143E" w14:textId="795C32A2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Może być dopuszczalne incydentalnie (pilna sprawa osobista, zapomniałem telefonu prywatnego</w:t>
                  </w:r>
                  <w:r w:rsidR="00F94C30" w:rsidRPr="00D92392">
                    <w:rPr>
                      <w:rFonts w:asciiTheme="minorHAnsi" w:hAnsiTheme="minorHAnsi"/>
                      <w:sz w:val="22"/>
                      <w:szCs w:val="22"/>
                    </w:rPr>
                    <w:t>, skserowanie pojedynczych stron</w:t>
                  </w: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).</w:t>
                  </w:r>
                </w:p>
              </w:tc>
              <w:tc>
                <w:tcPr>
                  <w:tcW w:w="1943" w:type="dxa"/>
                </w:tcPr>
                <w:p w14:paraId="6C505A33" w14:textId="5265D898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X – co do zasady. </w:t>
                  </w:r>
                </w:p>
              </w:tc>
            </w:tr>
            <w:tr w:rsidR="003D4762" w:rsidRPr="00D92392" w14:paraId="3C8204E9" w14:textId="77777777" w:rsidTr="003D4762">
              <w:tc>
                <w:tcPr>
                  <w:tcW w:w="480" w:type="dxa"/>
                </w:tcPr>
                <w:p w14:paraId="0269F9A3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2579" w:type="dxa"/>
                </w:tcPr>
                <w:p w14:paraId="369A96F7" w14:textId="65B966AF" w:rsidR="00093F6C" w:rsidRPr="00D92392" w:rsidRDefault="00540CD8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341B79">
                    <w:rPr>
                      <w:rFonts w:asciiTheme="minorHAnsi" w:hAnsiTheme="minorHAnsi"/>
                      <w:sz w:val="22"/>
                      <w:szCs w:val="22"/>
                    </w:rPr>
                    <w:t>Naczelnik</w:t>
                  </w:r>
                  <w:r w:rsidRPr="00E215D3">
                    <w:rPr>
                      <w:rFonts w:asciiTheme="minorHAnsi" w:hAnsiTheme="minorHAnsi"/>
                      <w:sz w:val="22"/>
                      <w:szCs w:val="22"/>
                    </w:rPr>
                    <w:t xml:space="preserve"> /</w:t>
                  </w:r>
                  <w:r w:rsidRPr="00341B79">
                    <w:rPr>
                      <w:rFonts w:asciiTheme="minorHAnsi" w:hAnsiTheme="minorHAnsi"/>
                      <w:sz w:val="22"/>
                      <w:szCs w:val="22"/>
                    </w:rPr>
                    <w:t xml:space="preserve"> kierownik komentuje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wobec swoich podwładnych</w:t>
                  </w:r>
                  <w:r w:rsidR="00E67FC7">
                    <w:rPr>
                      <w:rFonts w:asciiTheme="minorHAnsi" w:hAnsiTheme="minorHAnsi"/>
                      <w:sz w:val="22"/>
                      <w:szCs w:val="22"/>
                    </w:rPr>
                    <w:t>: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„</w:t>
                  </w:r>
                  <w:r w:rsidR="00E67FC7">
                    <w:rPr>
                      <w:rFonts w:asciiTheme="minorHAnsi" w:hAnsiTheme="minorHAnsi"/>
                      <w:sz w:val="22"/>
                      <w:szCs w:val="22"/>
                    </w:rPr>
                    <w:t>a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le nam zafundowali dyrektora, na niczym się nie zna”.</w:t>
                  </w:r>
                </w:p>
              </w:tc>
              <w:tc>
                <w:tcPr>
                  <w:tcW w:w="908" w:type="dxa"/>
                </w:tcPr>
                <w:p w14:paraId="639E56C6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4C73E0FE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943" w:type="dxa"/>
                </w:tcPr>
                <w:p w14:paraId="0398A0E0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X</w:t>
                  </w:r>
                </w:p>
                <w:p w14:paraId="148B3BCE" w14:textId="2E6BEEE4" w:rsidR="00093F6C" w:rsidRPr="00D92392" w:rsidRDefault="00075733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Zachowanie nielojalne. </w:t>
                  </w:r>
                </w:p>
              </w:tc>
            </w:tr>
            <w:tr w:rsidR="003D4762" w:rsidRPr="00D92392" w14:paraId="5A94401D" w14:textId="77777777" w:rsidTr="003D4762">
              <w:tc>
                <w:tcPr>
                  <w:tcW w:w="480" w:type="dxa"/>
                </w:tcPr>
                <w:p w14:paraId="2B145E6F" w14:textId="1D7BCD58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2579" w:type="dxa"/>
                </w:tcPr>
                <w:p w14:paraId="47778308" w14:textId="0A81C0B8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Nieodbieranie telefonów służbowych, nieoddzwanianie, nieodpisywanie na maile. </w:t>
                  </w:r>
                </w:p>
              </w:tc>
              <w:tc>
                <w:tcPr>
                  <w:tcW w:w="908" w:type="dxa"/>
                </w:tcPr>
                <w:p w14:paraId="4EEA9CAA" w14:textId="77777777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11" w:type="dxa"/>
                </w:tcPr>
                <w:p w14:paraId="19890452" w14:textId="3F8D14A4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Nie ma obowiązku odbierania natychmiast telefonów, możemy być czymś zajęci. Co do zasady należy oddzwaniać i odpowiadać na e-maile, na które nadawca oczekuje odpowiedzi. Gdy otrzymujemy 20, a nie 200 e-maili dziennie, grzecznie jest także potwierdzić otrzymanie wiadomości.  </w:t>
                  </w:r>
                </w:p>
              </w:tc>
              <w:tc>
                <w:tcPr>
                  <w:tcW w:w="1943" w:type="dxa"/>
                </w:tcPr>
                <w:p w14:paraId="38777A1B" w14:textId="7DA8DBD8" w:rsidR="00093F6C" w:rsidRPr="00D92392" w:rsidRDefault="00093F6C" w:rsidP="00D92392">
                  <w:pPr>
                    <w:spacing w:before="120" w:after="120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D92392">
                    <w:rPr>
                      <w:rFonts w:asciiTheme="minorHAnsi" w:hAnsiTheme="minorHAnsi"/>
                      <w:sz w:val="22"/>
                      <w:szCs w:val="22"/>
                    </w:rPr>
                    <w:t xml:space="preserve">X – jeżeli jest celowe i nieuzasadnione. </w:t>
                  </w:r>
                </w:p>
              </w:tc>
            </w:tr>
          </w:tbl>
          <w:p w14:paraId="685BB557" w14:textId="77777777" w:rsidR="003E072F" w:rsidRDefault="003E072F" w:rsidP="00D92392">
            <w:pPr>
              <w:spacing w:before="120" w:after="120" w:line="360" w:lineRule="auto"/>
              <w:ind w:left="720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  <w:p w14:paraId="3D9B5034" w14:textId="282B7074" w:rsidR="00E1106C" w:rsidRDefault="00753C9A" w:rsidP="00E1106C">
            <w:pPr>
              <w:autoSpaceDE w:val="0"/>
              <w:autoSpaceDN w:val="0"/>
              <w:adjustRightInd w:val="0"/>
              <w:spacing w:before="120" w:after="120"/>
              <w:rPr>
                <w:bCs/>
                <w:color w:val="FF0000"/>
              </w:rPr>
            </w:pPr>
            <w:r w:rsidRPr="00753C9A">
              <w:rPr>
                <w:bCs/>
                <w:noProof/>
                <w:color w:val="FF0000"/>
                <w:lang w:eastAsia="pl-PL"/>
              </w:rPr>
              <w:drawing>
                <wp:inline distT="0" distB="0" distL="0" distR="0" wp14:anchorId="2585E53D" wp14:editId="66F3F195">
                  <wp:extent cx="4572638" cy="3429479"/>
                  <wp:effectExtent l="114300" t="114300" r="113665" b="152400"/>
                  <wp:docPr id="17" name="Obraz 17" descr="Tytuł slajdu: Najważniejsze instytucje koordynujące działania w sferze etyki" title="Zrzut ekranu prezentacji: Prawne źródła infrastruktury etyczn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3429479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0A60B435" w14:textId="77777777" w:rsidR="00E1106C" w:rsidRDefault="00E1106C" w:rsidP="00E1106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</w:p>
          <w:p w14:paraId="3AEE1C83" w14:textId="77777777" w:rsidR="00E1106C" w:rsidRPr="008849D1" w:rsidRDefault="00E1106C" w:rsidP="00E1106C">
            <w:pPr>
              <w:autoSpaceDE w:val="0"/>
              <w:autoSpaceDN w:val="0"/>
              <w:adjustRightInd w:val="0"/>
              <w:spacing w:before="120" w:after="120"/>
              <w:rPr>
                <w:bCs/>
              </w:rPr>
            </w:pPr>
            <w:r w:rsidRPr="008849D1">
              <w:rPr>
                <w:bCs/>
              </w:rPr>
              <w:t>W nawiązaniu do omówionej w ramach zagadnień wstępnych infrastruktury etycznej, pokrótce wymień najważniejsze instytucje uczestniczące w działaniach z dotyczących etyki w sc</w:t>
            </w:r>
            <w:r w:rsidRPr="00C96875">
              <w:t xml:space="preserve"> </w:t>
            </w:r>
            <w:r w:rsidRPr="008849D1">
              <w:rPr>
                <w:bCs/>
              </w:rPr>
              <w:t>w naszym kraju:</w:t>
            </w:r>
          </w:p>
          <w:p w14:paraId="5BC89D76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>Szef Służby Cywilnej</w:t>
            </w:r>
            <w:r w:rsidRPr="008849D1">
              <w:rPr>
                <w:rStyle w:val="tlid-translation"/>
                <w:sz w:val="22"/>
                <w:szCs w:val="22"/>
              </w:rPr>
              <w:t xml:space="preserve"> – centralny organ administracji rządowej właściwy w sprawach służby cywilnej, jego ustawowym zadaniem jest m.in. czuwanie nad przestrzeganiem zasad służby cywilnej</w:t>
            </w:r>
          </w:p>
          <w:p w14:paraId="3A4DA9D5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>Rada Służby Publicznej</w:t>
            </w:r>
            <w:r w:rsidRPr="008849D1">
              <w:rPr>
                <w:rStyle w:val="tlid-translation"/>
                <w:sz w:val="22"/>
                <w:szCs w:val="22"/>
              </w:rPr>
              <w:t xml:space="preserve"> – organ opiniodawczo-doradczy Prezesa Rady Ministrów, którego zadaniem jest m.in. wyrażanie opinii w sprawach dotyczących służby cywilnej </w:t>
            </w:r>
          </w:p>
          <w:p w14:paraId="507934C8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>Dyrektor generalny urzędu/ kierownik urzędu</w:t>
            </w:r>
            <w:r w:rsidRPr="008849D1">
              <w:rPr>
                <w:rStyle w:val="tlid-translation"/>
                <w:sz w:val="22"/>
                <w:szCs w:val="22"/>
              </w:rPr>
              <w:t xml:space="preserve"> – zapewnia funkcjonowanie i</w:t>
            </w:r>
          </w:p>
          <w:p w14:paraId="54EAC5C8" w14:textId="77777777" w:rsidR="00E1106C" w:rsidRPr="008849D1" w:rsidRDefault="00E1106C" w:rsidP="00E1106C">
            <w:pPr>
              <w:pStyle w:val="Akapitzlist"/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sz w:val="22"/>
                <w:szCs w:val="22"/>
              </w:rPr>
              <w:t xml:space="preserve">ciągłość pracy urzędu, warunki jego działania, a także organizację pracy oraz dokonuje czynności z zakresu prawa pracy wobec osób zatrudnionych w urzędzie, realizuje politykę personalną. Odpowiada za promocję zasad i ich przestrzeganie w urzędzie  </w:t>
            </w:r>
          </w:p>
          <w:p w14:paraId="4DB25D6D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 xml:space="preserve">Wyższa Komisja Dyscyplinarna Służby Cywilnej </w:t>
            </w:r>
            <w:r w:rsidRPr="008849D1">
              <w:rPr>
                <w:rStyle w:val="tlid-translation"/>
                <w:sz w:val="22"/>
                <w:szCs w:val="22"/>
              </w:rPr>
              <w:t xml:space="preserve">– organ do rozpatrywania spraw dyscyplinarnych członków korpusu służby cywilnej drugiej instancji oraz pierwszej i drugiej instancji jeśli chodzi o sprawy dyscyplinarne osób zajmujących stanowiska dyrektorów generalnych urzędu </w:t>
            </w:r>
          </w:p>
          <w:p w14:paraId="4EB6FB49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Style w:val="tlid-translation"/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>Główna Komisja Orzekająca</w:t>
            </w:r>
            <w:r w:rsidRPr="008849D1">
              <w:rPr>
                <w:rStyle w:val="tlid-translation"/>
                <w:sz w:val="22"/>
                <w:szCs w:val="22"/>
              </w:rPr>
              <w:t xml:space="preserve"> - organ orzekający w sprawach o naruszenie dyscypliny finansów publicznych drugiej instancji</w:t>
            </w:r>
          </w:p>
          <w:p w14:paraId="5CD2ED72" w14:textId="77777777" w:rsidR="00E1106C" w:rsidRPr="008849D1" w:rsidRDefault="00E1106C" w:rsidP="00E1106C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sz w:val="22"/>
                <w:szCs w:val="22"/>
              </w:rPr>
            </w:pPr>
            <w:r w:rsidRPr="008849D1">
              <w:rPr>
                <w:rStyle w:val="tlid-translation"/>
                <w:b/>
                <w:sz w:val="22"/>
                <w:szCs w:val="22"/>
              </w:rPr>
              <w:t>Najwyższa Izba Kontroli</w:t>
            </w:r>
            <w:r w:rsidRPr="008849D1">
              <w:rPr>
                <w:rStyle w:val="tlid-translation"/>
                <w:sz w:val="22"/>
                <w:szCs w:val="22"/>
              </w:rPr>
              <w:t xml:space="preserve"> - najwyższy organ kontroli, podlegający Sejmowi</w:t>
            </w:r>
          </w:p>
          <w:p w14:paraId="7DC18F62" w14:textId="13B1FA17" w:rsidR="00E1106C" w:rsidRPr="00D92392" w:rsidRDefault="00E1106C" w:rsidP="000F3B8D">
            <w:pPr>
              <w:spacing w:before="120" w:after="120" w:line="360" w:lineRule="auto"/>
              <w:rPr>
                <w:rFonts w:asciiTheme="minorHAnsi" w:hAnsiTheme="minorHAnsi"/>
                <w:sz w:val="22"/>
                <w:szCs w:val="22"/>
                <w:lang w:eastAsia="pl-PL"/>
              </w:rPr>
            </w:pPr>
          </w:p>
        </w:tc>
      </w:tr>
      <w:tr w:rsidR="00705037" w:rsidRPr="00D92392" w14:paraId="52D8F05B" w14:textId="77777777" w:rsidTr="003D4762">
        <w:trPr>
          <w:trHeight w:val="1354"/>
        </w:trPr>
        <w:tc>
          <w:tcPr>
            <w:tcW w:w="1627" w:type="dxa"/>
            <w:shd w:val="clear" w:color="auto" w:fill="D9D9D9"/>
          </w:tcPr>
          <w:p w14:paraId="63EEB419" w14:textId="7DB87784" w:rsidR="003E072F" w:rsidRPr="00D92392" w:rsidRDefault="006C6C99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Dodatkowe w</w:t>
            </w:r>
            <w:r w:rsidR="003E072F" w:rsidRPr="00D92392">
              <w:rPr>
                <w:rFonts w:asciiTheme="minorHAnsi" w:hAnsiTheme="minorHAnsi"/>
                <w:b/>
                <w:sz w:val="22"/>
                <w:szCs w:val="22"/>
              </w:rPr>
              <w:t xml:space="preserve">ytyczne </w:t>
            </w:r>
            <w:r w:rsidR="003E072F" w:rsidRPr="00D92392">
              <w:rPr>
                <w:rFonts w:asciiTheme="minorHAnsi" w:hAnsiTheme="minorHAnsi"/>
                <w:b/>
                <w:sz w:val="22"/>
                <w:szCs w:val="22"/>
              </w:rPr>
              <w:br/>
              <w:t>do sposobu prowadzenia zajęć</w:t>
            </w:r>
          </w:p>
          <w:p w14:paraId="57800456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836" w:type="dxa"/>
          </w:tcPr>
          <w:p w14:paraId="32BB347A" w14:textId="6D4F9D71" w:rsidR="007C6D09" w:rsidRPr="00D92392" w:rsidRDefault="007402EA" w:rsidP="007E5B9F">
            <w:pPr>
              <w:spacing w:before="120" w:after="120"/>
              <w:outlineLvl w:val="1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Wykład powinien być stosunkowo syntetyczny. Ze względu na ograniczenia czasowe nie wchod</w:t>
            </w:r>
            <w:r>
              <w:rPr>
                <w:rFonts w:asciiTheme="minorHAnsi" w:hAnsiTheme="minorHAnsi"/>
                <w:sz w:val="22"/>
                <w:szCs w:val="22"/>
              </w:rPr>
              <w:t>ź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w szczegóły. Nie czyta</w:t>
            </w:r>
            <w:r>
              <w:rPr>
                <w:rFonts w:asciiTheme="minorHAnsi" w:hAnsiTheme="minorHAnsi"/>
                <w:sz w:val="22"/>
                <w:szCs w:val="22"/>
              </w:rPr>
              <w:t>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pełnej treści przepisów. </w:t>
            </w:r>
          </w:p>
        </w:tc>
      </w:tr>
      <w:tr w:rsidR="00705037" w:rsidRPr="00D92392" w14:paraId="0EBC854E" w14:textId="77777777" w:rsidTr="003D4762">
        <w:trPr>
          <w:trHeight w:val="1914"/>
        </w:trPr>
        <w:tc>
          <w:tcPr>
            <w:tcW w:w="1627" w:type="dxa"/>
            <w:shd w:val="clear" w:color="auto" w:fill="D9D9D9"/>
          </w:tcPr>
          <w:p w14:paraId="6789AA33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Uwagi</w:t>
            </w:r>
          </w:p>
          <w:p w14:paraId="275349E2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1463765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DC804CB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836" w:type="dxa"/>
          </w:tcPr>
          <w:p w14:paraId="3D6CB730" w14:textId="02341AEE" w:rsidR="003E072F" w:rsidRPr="00D92392" w:rsidRDefault="00423D2D" w:rsidP="00D9239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r w:rsidRPr="001301AF">
              <w:rPr>
                <w:rFonts w:asciiTheme="minorHAnsi" w:hAnsiTheme="minorHAnsi"/>
                <w:sz w:val="22"/>
                <w:szCs w:val="22"/>
              </w:rPr>
              <w:t>Ze względu na interaktywną formę wykładu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przed spotkaniem rozdaj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uczestnikom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jedynie 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>materiały dodatkowe, natomiast wydruk prezentacji przeka</w:t>
            </w:r>
            <w:r>
              <w:rPr>
                <w:rFonts w:asciiTheme="minorHAnsi" w:hAnsiTheme="minorHAnsi"/>
                <w:sz w:val="22"/>
                <w:szCs w:val="22"/>
              </w:rPr>
              <w:t>ż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im </w:t>
            </w:r>
            <w:r w:rsidRPr="001301AF">
              <w:rPr>
                <w:rFonts w:asciiTheme="minorHAnsi" w:hAnsiTheme="minorHAnsi"/>
                <w:sz w:val="22"/>
                <w:szCs w:val="22"/>
                <w:u w:val="single"/>
              </w:rPr>
              <w:t>po części wykładowej</w:t>
            </w:r>
            <w:r w:rsidRPr="001301AF">
              <w:rPr>
                <w:rFonts w:asciiTheme="minorHAnsi" w:hAnsiTheme="minorHAnsi"/>
                <w:sz w:val="22"/>
                <w:szCs w:val="22"/>
              </w:rPr>
              <w:t xml:space="preserve">.  </w:t>
            </w:r>
          </w:p>
        </w:tc>
      </w:tr>
      <w:tr w:rsidR="00705037" w:rsidRPr="00D92392" w14:paraId="78B0A84B" w14:textId="77777777" w:rsidTr="003D4762">
        <w:trPr>
          <w:trHeight w:val="58"/>
        </w:trPr>
        <w:tc>
          <w:tcPr>
            <w:tcW w:w="1627" w:type="dxa"/>
            <w:shd w:val="clear" w:color="auto" w:fill="D9D9D9"/>
          </w:tcPr>
          <w:p w14:paraId="7152C525" w14:textId="23F9CEF7" w:rsidR="003E072F" w:rsidRPr="00D92392" w:rsidRDefault="003961AA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D92392">
              <w:rPr>
                <w:rFonts w:asciiTheme="minorHAnsi" w:hAnsiTheme="minorHAnsi"/>
                <w:b/>
                <w:sz w:val="22"/>
                <w:szCs w:val="22"/>
              </w:rPr>
              <w:t>Przydatny odnośnik</w:t>
            </w:r>
          </w:p>
          <w:p w14:paraId="0F62050B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3E68405A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0798FDE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129102F4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02B132B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6F8B523A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EDE73B4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709AB50" w14:textId="77777777" w:rsidR="003E072F" w:rsidRPr="00D92392" w:rsidRDefault="003E072F" w:rsidP="00D92392">
            <w:pPr>
              <w:spacing w:before="120" w:after="12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836" w:type="dxa"/>
          </w:tcPr>
          <w:p w14:paraId="59B59117" w14:textId="3489183C" w:rsidR="00E41953" w:rsidRPr="00D92392" w:rsidRDefault="00954AC5" w:rsidP="00D92392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  <w:hyperlink r:id="rId17" w:history="1">
              <w:r w:rsidR="00E41953" w:rsidRPr="00D92392">
                <w:rPr>
                  <w:rStyle w:val="Hipercze"/>
                  <w:rFonts w:asciiTheme="minorHAnsi" w:hAnsiTheme="minorHAnsi"/>
                  <w:sz w:val="22"/>
                  <w:szCs w:val="22"/>
                </w:rPr>
                <w:t>Wyrok SN w sprawie stosowania art. 231 kk</w:t>
              </w:r>
            </w:hyperlink>
            <w:r w:rsidR="008D78E6" w:rsidRPr="00D92392">
              <w:rPr>
                <w:rFonts w:asciiTheme="minorHAnsi" w:hAnsiTheme="minorHAnsi"/>
                <w:sz w:val="22"/>
                <w:szCs w:val="22"/>
              </w:rPr>
              <w:t xml:space="preserve"> - Sygn. akt I KZP 24/12 (http://www.sn.pl/sites/orzecznictwo/Orzeczenia3/I%20KZP%2024-12.pdf)</w:t>
            </w:r>
          </w:p>
          <w:p w14:paraId="5058C5FF" w14:textId="56AF118C" w:rsidR="003E072F" w:rsidRPr="00D92392" w:rsidRDefault="003E072F" w:rsidP="00D92392">
            <w:pPr>
              <w:spacing w:before="120" w:after="120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C352B3A" w14:textId="77777777" w:rsidR="003E072F" w:rsidRPr="00D92392" w:rsidRDefault="003E072F">
      <w:pPr>
        <w:spacing w:before="120" w:after="120"/>
        <w:rPr>
          <w:rFonts w:asciiTheme="minorHAnsi" w:hAnsiTheme="minorHAnsi"/>
          <w:b/>
          <w:sz w:val="22"/>
          <w:szCs w:val="22"/>
        </w:rPr>
      </w:pPr>
    </w:p>
    <w:sectPr w:rsidR="003E072F" w:rsidRPr="00D92392" w:rsidSect="00730C07">
      <w:headerReference w:type="default" r:id="rId18"/>
      <w:footerReference w:type="even" r:id="rId19"/>
      <w:footerReference w:type="default" r:id="rId20"/>
      <w:pgSz w:w="11900" w:h="16840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2DDDF" w14:textId="77777777" w:rsidR="007C32CA" w:rsidRDefault="007C32CA" w:rsidP="00C15B87">
      <w:r>
        <w:separator/>
      </w:r>
    </w:p>
  </w:endnote>
  <w:endnote w:type="continuationSeparator" w:id="0">
    <w:p w14:paraId="715A229C" w14:textId="77777777" w:rsidR="007C32CA" w:rsidRDefault="007C32CA" w:rsidP="00C15B87">
      <w:r>
        <w:continuationSeparator/>
      </w:r>
    </w:p>
  </w:endnote>
  <w:endnote w:type="continuationNotice" w:id="1">
    <w:p w14:paraId="4769EAC7" w14:textId="77777777" w:rsidR="007C32CA" w:rsidRDefault="007C3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6B0DC" w14:textId="77777777" w:rsidR="002372B8" w:rsidRDefault="002372B8" w:rsidP="006410A9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BBB180" w14:textId="77777777" w:rsidR="002372B8" w:rsidRDefault="002372B8" w:rsidP="00C15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9E3C8" w14:textId="74BE0254" w:rsidR="002372B8" w:rsidRPr="00AE4C92" w:rsidRDefault="002372B8" w:rsidP="00792920">
    <w:pPr>
      <w:pStyle w:val="Stopka"/>
      <w:jc w:val="right"/>
      <w:rPr>
        <w:color w:val="4472C4"/>
      </w:rPr>
    </w:pPr>
    <w:r w:rsidRPr="00AE4C92">
      <w:rPr>
        <w:color w:val="4472C4"/>
      </w:rPr>
      <w:t xml:space="preserve">Strona </w:t>
    </w:r>
    <w:r w:rsidRPr="00AE4C92">
      <w:rPr>
        <w:color w:val="4472C4"/>
      </w:rPr>
      <w:fldChar w:fldCharType="begin"/>
    </w:r>
    <w:r w:rsidRPr="00AE4C92">
      <w:rPr>
        <w:color w:val="4472C4"/>
      </w:rPr>
      <w:instrText>PAGE  \* Arabic  \* MERGEFORMAT</w:instrText>
    </w:r>
    <w:r w:rsidRPr="00AE4C92">
      <w:rPr>
        <w:color w:val="4472C4"/>
      </w:rPr>
      <w:fldChar w:fldCharType="separate"/>
    </w:r>
    <w:r w:rsidR="00954AC5">
      <w:rPr>
        <w:noProof/>
        <w:color w:val="4472C4"/>
      </w:rPr>
      <w:t>1</w:t>
    </w:r>
    <w:r w:rsidRPr="00AE4C92">
      <w:rPr>
        <w:color w:val="4472C4"/>
      </w:rPr>
      <w:fldChar w:fldCharType="end"/>
    </w:r>
    <w:r w:rsidRPr="00AE4C92">
      <w:rPr>
        <w:color w:val="4472C4"/>
      </w:rPr>
      <w:t xml:space="preserve"> z </w:t>
    </w:r>
    <w:r w:rsidRPr="00AE4C92">
      <w:rPr>
        <w:color w:val="4472C4"/>
      </w:rPr>
      <w:fldChar w:fldCharType="begin"/>
    </w:r>
    <w:r w:rsidRPr="00AE4C92">
      <w:rPr>
        <w:color w:val="4472C4"/>
      </w:rPr>
      <w:instrText>NUMPAGES \ * arabskie \ * MERGEFORMAT</w:instrText>
    </w:r>
    <w:r w:rsidRPr="00AE4C92">
      <w:rPr>
        <w:color w:val="4472C4"/>
      </w:rPr>
      <w:fldChar w:fldCharType="separate"/>
    </w:r>
    <w:r w:rsidR="00954AC5">
      <w:rPr>
        <w:noProof/>
        <w:color w:val="4472C4"/>
      </w:rPr>
      <w:t>11</w:t>
    </w:r>
    <w:r w:rsidRPr="00AE4C92">
      <w:rPr>
        <w:color w:val="4472C4"/>
      </w:rPr>
      <w:fldChar w:fldCharType="end"/>
    </w:r>
  </w:p>
  <w:p w14:paraId="54444048" w14:textId="77777777" w:rsidR="002372B8" w:rsidRDefault="002372B8" w:rsidP="00C15B8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CA7E2" w14:textId="77777777" w:rsidR="007C32CA" w:rsidRDefault="007C32CA" w:rsidP="00C15B87">
      <w:r>
        <w:separator/>
      </w:r>
    </w:p>
  </w:footnote>
  <w:footnote w:type="continuationSeparator" w:id="0">
    <w:p w14:paraId="4828C864" w14:textId="77777777" w:rsidR="007C32CA" w:rsidRDefault="007C32CA" w:rsidP="00C15B87">
      <w:r>
        <w:continuationSeparator/>
      </w:r>
    </w:p>
  </w:footnote>
  <w:footnote w:type="continuationNotice" w:id="1">
    <w:p w14:paraId="10EED150" w14:textId="77777777" w:rsidR="007C32CA" w:rsidRDefault="007C32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3A5C4" w14:textId="77777777" w:rsidR="00B214A2" w:rsidRDefault="00B214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337"/>
    <w:multiLevelType w:val="hybridMultilevel"/>
    <w:tmpl w:val="22A2F606"/>
    <w:lvl w:ilvl="0" w:tplc="F3B2AB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8038A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41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A7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DCFA4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3ED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5062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8247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0C35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BBC"/>
    <w:multiLevelType w:val="hybridMultilevel"/>
    <w:tmpl w:val="AF889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006D0"/>
    <w:multiLevelType w:val="hybridMultilevel"/>
    <w:tmpl w:val="372CF9F6"/>
    <w:lvl w:ilvl="0" w:tplc="0F56CF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E00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FEA8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853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FC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C1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96C2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7027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B34"/>
    <w:multiLevelType w:val="hybridMultilevel"/>
    <w:tmpl w:val="E31AF358"/>
    <w:lvl w:ilvl="0" w:tplc="E4BEE9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1F524D"/>
    <w:multiLevelType w:val="hybridMultilevel"/>
    <w:tmpl w:val="C3BA3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A5881"/>
    <w:multiLevelType w:val="hybridMultilevel"/>
    <w:tmpl w:val="6C2E8F68"/>
    <w:lvl w:ilvl="0" w:tplc="79DC56E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FB54A5"/>
    <w:multiLevelType w:val="hybridMultilevel"/>
    <w:tmpl w:val="FB86E56C"/>
    <w:lvl w:ilvl="0" w:tplc="EE5CD4F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88BE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451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E189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C4A2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646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34684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AA04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C9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31E85"/>
    <w:multiLevelType w:val="hybridMultilevel"/>
    <w:tmpl w:val="ED6CF9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671312"/>
    <w:multiLevelType w:val="hybridMultilevel"/>
    <w:tmpl w:val="3C1C8F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74BE8"/>
    <w:multiLevelType w:val="hybridMultilevel"/>
    <w:tmpl w:val="7BE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AB236A"/>
    <w:multiLevelType w:val="hybridMultilevel"/>
    <w:tmpl w:val="FC9A6530"/>
    <w:lvl w:ilvl="0" w:tplc="6AA84B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37"/>
    <w:rsid w:val="00011F59"/>
    <w:rsid w:val="00024815"/>
    <w:rsid w:val="000364E8"/>
    <w:rsid w:val="00041424"/>
    <w:rsid w:val="000625E3"/>
    <w:rsid w:val="00062650"/>
    <w:rsid w:val="00066724"/>
    <w:rsid w:val="000737A0"/>
    <w:rsid w:val="00074082"/>
    <w:rsid w:val="00075733"/>
    <w:rsid w:val="00082A67"/>
    <w:rsid w:val="000918E7"/>
    <w:rsid w:val="00092045"/>
    <w:rsid w:val="00093F6C"/>
    <w:rsid w:val="00094315"/>
    <w:rsid w:val="0009786B"/>
    <w:rsid w:val="000A067A"/>
    <w:rsid w:val="000A16D0"/>
    <w:rsid w:val="000B0066"/>
    <w:rsid w:val="000C037B"/>
    <w:rsid w:val="000C41EB"/>
    <w:rsid w:val="000D03D9"/>
    <w:rsid w:val="000D3F50"/>
    <w:rsid w:val="000D409E"/>
    <w:rsid w:val="000D7538"/>
    <w:rsid w:val="000E70A6"/>
    <w:rsid w:val="000F3B8D"/>
    <w:rsid w:val="000F7A87"/>
    <w:rsid w:val="000F7E1E"/>
    <w:rsid w:val="00100D1B"/>
    <w:rsid w:val="001027A8"/>
    <w:rsid w:val="00107767"/>
    <w:rsid w:val="00107DA8"/>
    <w:rsid w:val="00120C13"/>
    <w:rsid w:val="0012194C"/>
    <w:rsid w:val="0013088B"/>
    <w:rsid w:val="00130CA5"/>
    <w:rsid w:val="001323BD"/>
    <w:rsid w:val="00137875"/>
    <w:rsid w:val="00142BBF"/>
    <w:rsid w:val="0014381B"/>
    <w:rsid w:val="00147F7A"/>
    <w:rsid w:val="001530AE"/>
    <w:rsid w:val="00154162"/>
    <w:rsid w:val="00155E6D"/>
    <w:rsid w:val="001644EB"/>
    <w:rsid w:val="00170746"/>
    <w:rsid w:val="00172F4B"/>
    <w:rsid w:val="0018624D"/>
    <w:rsid w:val="001921DE"/>
    <w:rsid w:val="00192492"/>
    <w:rsid w:val="00193A40"/>
    <w:rsid w:val="001A194B"/>
    <w:rsid w:val="001A311B"/>
    <w:rsid w:val="001A7924"/>
    <w:rsid w:val="001B1CF2"/>
    <w:rsid w:val="001B58F7"/>
    <w:rsid w:val="001D1CFD"/>
    <w:rsid w:val="001E2C36"/>
    <w:rsid w:val="001E6287"/>
    <w:rsid w:val="001F0835"/>
    <w:rsid w:val="001F1087"/>
    <w:rsid w:val="00200484"/>
    <w:rsid w:val="0020466C"/>
    <w:rsid w:val="00206AB3"/>
    <w:rsid w:val="002262CB"/>
    <w:rsid w:val="00233A9E"/>
    <w:rsid w:val="002372B8"/>
    <w:rsid w:val="00237FB3"/>
    <w:rsid w:val="002433D1"/>
    <w:rsid w:val="00262409"/>
    <w:rsid w:val="00267959"/>
    <w:rsid w:val="00267DFE"/>
    <w:rsid w:val="0027525B"/>
    <w:rsid w:val="00276C17"/>
    <w:rsid w:val="00277505"/>
    <w:rsid w:val="0028225C"/>
    <w:rsid w:val="002853D3"/>
    <w:rsid w:val="00286D2D"/>
    <w:rsid w:val="0028761A"/>
    <w:rsid w:val="00293367"/>
    <w:rsid w:val="00297625"/>
    <w:rsid w:val="002B112A"/>
    <w:rsid w:val="002B68A6"/>
    <w:rsid w:val="002C04E0"/>
    <w:rsid w:val="002C1081"/>
    <w:rsid w:val="002C521C"/>
    <w:rsid w:val="002C7063"/>
    <w:rsid w:val="002C7730"/>
    <w:rsid w:val="002D03E7"/>
    <w:rsid w:val="002D3F03"/>
    <w:rsid w:val="002E0DCA"/>
    <w:rsid w:val="002E1B4C"/>
    <w:rsid w:val="002F2521"/>
    <w:rsid w:val="002F2CF2"/>
    <w:rsid w:val="002F546D"/>
    <w:rsid w:val="002F668D"/>
    <w:rsid w:val="003018AA"/>
    <w:rsid w:val="003051F0"/>
    <w:rsid w:val="00315F08"/>
    <w:rsid w:val="00320E5D"/>
    <w:rsid w:val="00322399"/>
    <w:rsid w:val="00322DF7"/>
    <w:rsid w:val="00324020"/>
    <w:rsid w:val="00327241"/>
    <w:rsid w:val="00331CEB"/>
    <w:rsid w:val="00335497"/>
    <w:rsid w:val="003373E4"/>
    <w:rsid w:val="00340BB9"/>
    <w:rsid w:val="00342C88"/>
    <w:rsid w:val="00346C40"/>
    <w:rsid w:val="00360CB4"/>
    <w:rsid w:val="0036535C"/>
    <w:rsid w:val="00375D37"/>
    <w:rsid w:val="00381022"/>
    <w:rsid w:val="003814DC"/>
    <w:rsid w:val="0039071F"/>
    <w:rsid w:val="003961AA"/>
    <w:rsid w:val="0039751C"/>
    <w:rsid w:val="003A11B8"/>
    <w:rsid w:val="003A2E50"/>
    <w:rsid w:val="003A320D"/>
    <w:rsid w:val="003A3F9C"/>
    <w:rsid w:val="003A499C"/>
    <w:rsid w:val="003A4CF4"/>
    <w:rsid w:val="003B280E"/>
    <w:rsid w:val="003B5136"/>
    <w:rsid w:val="003C054B"/>
    <w:rsid w:val="003C1023"/>
    <w:rsid w:val="003C36A2"/>
    <w:rsid w:val="003C7856"/>
    <w:rsid w:val="003C7BC0"/>
    <w:rsid w:val="003D4762"/>
    <w:rsid w:val="003D5A98"/>
    <w:rsid w:val="003D6214"/>
    <w:rsid w:val="003E072F"/>
    <w:rsid w:val="003E1F4D"/>
    <w:rsid w:val="003E263C"/>
    <w:rsid w:val="003E37A9"/>
    <w:rsid w:val="003E400C"/>
    <w:rsid w:val="003E60DF"/>
    <w:rsid w:val="004018A8"/>
    <w:rsid w:val="0041197A"/>
    <w:rsid w:val="00421ACE"/>
    <w:rsid w:val="00423D2D"/>
    <w:rsid w:val="0042412A"/>
    <w:rsid w:val="004349DD"/>
    <w:rsid w:val="00436C65"/>
    <w:rsid w:val="00443620"/>
    <w:rsid w:val="00444F58"/>
    <w:rsid w:val="00446210"/>
    <w:rsid w:val="00446902"/>
    <w:rsid w:val="00464484"/>
    <w:rsid w:val="00470157"/>
    <w:rsid w:val="00470CC7"/>
    <w:rsid w:val="00470D79"/>
    <w:rsid w:val="00480C50"/>
    <w:rsid w:val="004863A5"/>
    <w:rsid w:val="004912E3"/>
    <w:rsid w:val="00494704"/>
    <w:rsid w:val="004A7B7A"/>
    <w:rsid w:val="004B22B1"/>
    <w:rsid w:val="004C3521"/>
    <w:rsid w:val="004C3C24"/>
    <w:rsid w:val="004C3E20"/>
    <w:rsid w:val="004C4ADC"/>
    <w:rsid w:val="004C59FA"/>
    <w:rsid w:val="004D0EA6"/>
    <w:rsid w:val="004E3327"/>
    <w:rsid w:val="004E69DA"/>
    <w:rsid w:val="004F17DB"/>
    <w:rsid w:val="004F3F51"/>
    <w:rsid w:val="004F4EE9"/>
    <w:rsid w:val="004F515E"/>
    <w:rsid w:val="00500F46"/>
    <w:rsid w:val="00502B0C"/>
    <w:rsid w:val="00503ADA"/>
    <w:rsid w:val="00504C62"/>
    <w:rsid w:val="00507581"/>
    <w:rsid w:val="00507862"/>
    <w:rsid w:val="0050793D"/>
    <w:rsid w:val="00510AA8"/>
    <w:rsid w:val="00510F8D"/>
    <w:rsid w:val="00511E19"/>
    <w:rsid w:val="00512A2B"/>
    <w:rsid w:val="00514F0F"/>
    <w:rsid w:val="00517E14"/>
    <w:rsid w:val="00524A6E"/>
    <w:rsid w:val="0053297D"/>
    <w:rsid w:val="005401C7"/>
    <w:rsid w:val="00540CD8"/>
    <w:rsid w:val="00544517"/>
    <w:rsid w:val="00545CF6"/>
    <w:rsid w:val="00546D23"/>
    <w:rsid w:val="005479FA"/>
    <w:rsid w:val="005525AC"/>
    <w:rsid w:val="00553339"/>
    <w:rsid w:val="0055431F"/>
    <w:rsid w:val="00556474"/>
    <w:rsid w:val="0056064A"/>
    <w:rsid w:val="005616A4"/>
    <w:rsid w:val="005645C4"/>
    <w:rsid w:val="00564885"/>
    <w:rsid w:val="00566CC7"/>
    <w:rsid w:val="00572D23"/>
    <w:rsid w:val="00574A72"/>
    <w:rsid w:val="00575FA2"/>
    <w:rsid w:val="00580CBD"/>
    <w:rsid w:val="00581775"/>
    <w:rsid w:val="005914BD"/>
    <w:rsid w:val="00593887"/>
    <w:rsid w:val="00595607"/>
    <w:rsid w:val="005A5666"/>
    <w:rsid w:val="005A6C0D"/>
    <w:rsid w:val="005B3308"/>
    <w:rsid w:val="005C15B1"/>
    <w:rsid w:val="005C4233"/>
    <w:rsid w:val="005D3F1B"/>
    <w:rsid w:val="005D538F"/>
    <w:rsid w:val="005E0B55"/>
    <w:rsid w:val="005E19D6"/>
    <w:rsid w:val="005F331D"/>
    <w:rsid w:val="006061D6"/>
    <w:rsid w:val="00607986"/>
    <w:rsid w:val="00621BF3"/>
    <w:rsid w:val="00622B5D"/>
    <w:rsid w:val="00622CD0"/>
    <w:rsid w:val="0062460A"/>
    <w:rsid w:val="00630642"/>
    <w:rsid w:val="006371EC"/>
    <w:rsid w:val="00637321"/>
    <w:rsid w:val="006410A9"/>
    <w:rsid w:val="00650968"/>
    <w:rsid w:val="006515ED"/>
    <w:rsid w:val="006526BD"/>
    <w:rsid w:val="006543FC"/>
    <w:rsid w:val="006555CA"/>
    <w:rsid w:val="006555FF"/>
    <w:rsid w:val="006626A6"/>
    <w:rsid w:val="00662EA9"/>
    <w:rsid w:val="00664091"/>
    <w:rsid w:val="0066481A"/>
    <w:rsid w:val="006673B7"/>
    <w:rsid w:val="0067150A"/>
    <w:rsid w:val="006736FE"/>
    <w:rsid w:val="00681F36"/>
    <w:rsid w:val="006829AE"/>
    <w:rsid w:val="006855DC"/>
    <w:rsid w:val="0069327E"/>
    <w:rsid w:val="006979BB"/>
    <w:rsid w:val="006A0619"/>
    <w:rsid w:val="006A11E5"/>
    <w:rsid w:val="006A672F"/>
    <w:rsid w:val="006B6063"/>
    <w:rsid w:val="006C0368"/>
    <w:rsid w:val="006C32C3"/>
    <w:rsid w:val="006C66A7"/>
    <w:rsid w:val="006C6C99"/>
    <w:rsid w:val="006C746F"/>
    <w:rsid w:val="006D058D"/>
    <w:rsid w:val="006D382A"/>
    <w:rsid w:val="006E0614"/>
    <w:rsid w:val="006E067C"/>
    <w:rsid w:val="006F08EF"/>
    <w:rsid w:val="006F5460"/>
    <w:rsid w:val="00705037"/>
    <w:rsid w:val="00707597"/>
    <w:rsid w:val="00714392"/>
    <w:rsid w:val="007165D6"/>
    <w:rsid w:val="00717CF4"/>
    <w:rsid w:val="00720A67"/>
    <w:rsid w:val="00721B45"/>
    <w:rsid w:val="00724B3B"/>
    <w:rsid w:val="00726560"/>
    <w:rsid w:val="00730314"/>
    <w:rsid w:val="00730C07"/>
    <w:rsid w:val="007402EA"/>
    <w:rsid w:val="00740468"/>
    <w:rsid w:val="0074270E"/>
    <w:rsid w:val="00743C64"/>
    <w:rsid w:val="00744C45"/>
    <w:rsid w:val="007504AF"/>
    <w:rsid w:val="00753C9A"/>
    <w:rsid w:val="00755A11"/>
    <w:rsid w:val="00756B32"/>
    <w:rsid w:val="007672F8"/>
    <w:rsid w:val="007709D6"/>
    <w:rsid w:val="007716AE"/>
    <w:rsid w:val="00771CAE"/>
    <w:rsid w:val="007731E8"/>
    <w:rsid w:val="00776093"/>
    <w:rsid w:val="00776544"/>
    <w:rsid w:val="007840F7"/>
    <w:rsid w:val="00790864"/>
    <w:rsid w:val="00792920"/>
    <w:rsid w:val="00793022"/>
    <w:rsid w:val="00793049"/>
    <w:rsid w:val="0079409C"/>
    <w:rsid w:val="00795A57"/>
    <w:rsid w:val="00795D06"/>
    <w:rsid w:val="007A6967"/>
    <w:rsid w:val="007A7275"/>
    <w:rsid w:val="007B2BE6"/>
    <w:rsid w:val="007B4FDE"/>
    <w:rsid w:val="007C0976"/>
    <w:rsid w:val="007C2CAA"/>
    <w:rsid w:val="007C32CA"/>
    <w:rsid w:val="007C482D"/>
    <w:rsid w:val="007C6D09"/>
    <w:rsid w:val="007D0277"/>
    <w:rsid w:val="007D1747"/>
    <w:rsid w:val="007D18CA"/>
    <w:rsid w:val="007D57C1"/>
    <w:rsid w:val="007E1305"/>
    <w:rsid w:val="007E5B9F"/>
    <w:rsid w:val="007E5E3C"/>
    <w:rsid w:val="007E75D6"/>
    <w:rsid w:val="007F2BDD"/>
    <w:rsid w:val="00807AC0"/>
    <w:rsid w:val="00820CCB"/>
    <w:rsid w:val="00822466"/>
    <w:rsid w:val="00823FA4"/>
    <w:rsid w:val="008240A9"/>
    <w:rsid w:val="0082410A"/>
    <w:rsid w:val="0083232E"/>
    <w:rsid w:val="00833B35"/>
    <w:rsid w:val="00833C6B"/>
    <w:rsid w:val="00833EFD"/>
    <w:rsid w:val="008351F3"/>
    <w:rsid w:val="00835238"/>
    <w:rsid w:val="00835973"/>
    <w:rsid w:val="008444A7"/>
    <w:rsid w:val="00853AA4"/>
    <w:rsid w:val="00855EA9"/>
    <w:rsid w:val="0086031B"/>
    <w:rsid w:val="008643ED"/>
    <w:rsid w:val="00866615"/>
    <w:rsid w:val="00870700"/>
    <w:rsid w:val="00871D96"/>
    <w:rsid w:val="008742F3"/>
    <w:rsid w:val="008765A7"/>
    <w:rsid w:val="00882A29"/>
    <w:rsid w:val="00882E05"/>
    <w:rsid w:val="008834BB"/>
    <w:rsid w:val="00885317"/>
    <w:rsid w:val="00887394"/>
    <w:rsid w:val="00894A6B"/>
    <w:rsid w:val="008A0BE9"/>
    <w:rsid w:val="008A528D"/>
    <w:rsid w:val="008B0003"/>
    <w:rsid w:val="008B6925"/>
    <w:rsid w:val="008D223E"/>
    <w:rsid w:val="008D78E6"/>
    <w:rsid w:val="008D7A8E"/>
    <w:rsid w:val="008E16B6"/>
    <w:rsid w:val="008E1DA3"/>
    <w:rsid w:val="008E7632"/>
    <w:rsid w:val="008F1746"/>
    <w:rsid w:val="0091142B"/>
    <w:rsid w:val="0091184F"/>
    <w:rsid w:val="00913819"/>
    <w:rsid w:val="0091756A"/>
    <w:rsid w:val="009177C1"/>
    <w:rsid w:val="0093171A"/>
    <w:rsid w:val="00931783"/>
    <w:rsid w:val="00935CFA"/>
    <w:rsid w:val="009402E8"/>
    <w:rsid w:val="009419D6"/>
    <w:rsid w:val="00942CBC"/>
    <w:rsid w:val="00944397"/>
    <w:rsid w:val="00944600"/>
    <w:rsid w:val="00954AC5"/>
    <w:rsid w:val="009561AF"/>
    <w:rsid w:val="00962EBA"/>
    <w:rsid w:val="00963666"/>
    <w:rsid w:val="00963752"/>
    <w:rsid w:val="0096443A"/>
    <w:rsid w:val="00964745"/>
    <w:rsid w:val="0097270F"/>
    <w:rsid w:val="0097531C"/>
    <w:rsid w:val="00980310"/>
    <w:rsid w:val="00991364"/>
    <w:rsid w:val="0099448E"/>
    <w:rsid w:val="009B176C"/>
    <w:rsid w:val="009B3CA0"/>
    <w:rsid w:val="009C03A5"/>
    <w:rsid w:val="009C12EF"/>
    <w:rsid w:val="009C17D9"/>
    <w:rsid w:val="009D1F20"/>
    <w:rsid w:val="009D5EA7"/>
    <w:rsid w:val="009E0D63"/>
    <w:rsid w:val="009E62AB"/>
    <w:rsid w:val="009F15CC"/>
    <w:rsid w:val="00A000E2"/>
    <w:rsid w:val="00A03101"/>
    <w:rsid w:val="00A03D39"/>
    <w:rsid w:val="00A04F37"/>
    <w:rsid w:val="00A07E0A"/>
    <w:rsid w:val="00A104E2"/>
    <w:rsid w:val="00A11701"/>
    <w:rsid w:val="00A15395"/>
    <w:rsid w:val="00A15D40"/>
    <w:rsid w:val="00A16A5A"/>
    <w:rsid w:val="00A20E8D"/>
    <w:rsid w:val="00A255A9"/>
    <w:rsid w:val="00A2746C"/>
    <w:rsid w:val="00A402A7"/>
    <w:rsid w:val="00A46DB4"/>
    <w:rsid w:val="00A540D5"/>
    <w:rsid w:val="00A551C4"/>
    <w:rsid w:val="00A6200F"/>
    <w:rsid w:val="00A64B42"/>
    <w:rsid w:val="00A6798A"/>
    <w:rsid w:val="00A67EA9"/>
    <w:rsid w:val="00A7391A"/>
    <w:rsid w:val="00A762E4"/>
    <w:rsid w:val="00A776D6"/>
    <w:rsid w:val="00A86A75"/>
    <w:rsid w:val="00A87A2D"/>
    <w:rsid w:val="00A907C6"/>
    <w:rsid w:val="00A92A0B"/>
    <w:rsid w:val="00A95678"/>
    <w:rsid w:val="00AA077A"/>
    <w:rsid w:val="00AA0901"/>
    <w:rsid w:val="00AA273C"/>
    <w:rsid w:val="00AA3DEB"/>
    <w:rsid w:val="00AA4478"/>
    <w:rsid w:val="00AA47F2"/>
    <w:rsid w:val="00AA4DF1"/>
    <w:rsid w:val="00AB1756"/>
    <w:rsid w:val="00AB1CD7"/>
    <w:rsid w:val="00AB3FA0"/>
    <w:rsid w:val="00AB4C49"/>
    <w:rsid w:val="00AC6718"/>
    <w:rsid w:val="00AD076B"/>
    <w:rsid w:val="00AD2515"/>
    <w:rsid w:val="00AD33BD"/>
    <w:rsid w:val="00AD515D"/>
    <w:rsid w:val="00AD6441"/>
    <w:rsid w:val="00AE0C07"/>
    <w:rsid w:val="00AE27DD"/>
    <w:rsid w:val="00AE4C92"/>
    <w:rsid w:val="00AE52FA"/>
    <w:rsid w:val="00AE6549"/>
    <w:rsid w:val="00AF2E47"/>
    <w:rsid w:val="00AF33D4"/>
    <w:rsid w:val="00AF4DC8"/>
    <w:rsid w:val="00AF77E4"/>
    <w:rsid w:val="00B02419"/>
    <w:rsid w:val="00B02458"/>
    <w:rsid w:val="00B02C13"/>
    <w:rsid w:val="00B0603E"/>
    <w:rsid w:val="00B15DC0"/>
    <w:rsid w:val="00B16A52"/>
    <w:rsid w:val="00B16AFF"/>
    <w:rsid w:val="00B214A2"/>
    <w:rsid w:val="00B233E3"/>
    <w:rsid w:val="00B371EC"/>
    <w:rsid w:val="00B40334"/>
    <w:rsid w:val="00B441C7"/>
    <w:rsid w:val="00B45A13"/>
    <w:rsid w:val="00B4752B"/>
    <w:rsid w:val="00B52708"/>
    <w:rsid w:val="00B530D4"/>
    <w:rsid w:val="00B57268"/>
    <w:rsid w:val="00B635F1"/>
    <w:rsid w:val="00B73026"/>
    <w:rsid w:val="00B73FFF"/>
    <w:rsid w:val="00B75638"/>
    <w:rsid w:val="00B90024"/>
    <w:rsid w:val="00B90300"/>
    <w:rsid w:val="00B90D62"/>
    <w:rsid w:val="00BA207F"/>
    <w:rsid w:val="00BA768D"/>
    <w:rsid w:val="00BB75EF"/>
    <w:rsid w:val="00BC58FE"/>
    <w:rsid w:val="00BD0F75"/>
    <w:rsid w:val="00BD1400"/>
    <w:rsid w:val="00BD38E7"/>
    <w:rsid w:val="00BE029B"/>
    <w:rsid w:val="00BE1CC9"/>
    <w:rsid w:val="00BE7618"/>
    <w:rsid w:val="00BF158D"/>
    <w:rsid w:val="00BF6CE3"/>
    <w:rsid w:val="00BF77D6"/>
    <w:rsid w:val="00C04AA7"/>
    <w:rsid w:val="00C124D0"/>
    <w:rsid w:val="00C15B87"/>
    <w:rsid w:val="00C1691D"/>
    <w:rsid w:val="00C24C4B"/>
    <w:rsid w:val="00C24DF0"/>
    <w:rsid w:val="00C304D4"/>
    <w:rsid w:val="00C32D81"/>
    <w:rsid w:val="00C36991"/>
    <w:rsid w:val="00C4224E"/>
    <w:rsid w:val="00C45BED"/>
    <w:rsid w:val="00C460D6"/>
    <w:rsid w:val="00C5402A"/>
    <w:rsid w:val="00C54954"/>
    <w:rsid w:val="00C577F4"/>
    <w:rsid w:val="00C626A6"/>
    <w:rsid w:val="00C63BFE"/>
    <w:rsid w:val="00C65B9F"/>
    <w:rsid w:val="00C65E6F"/>
    <w:rsid w:val="00C676A2"/>
    <w:rsid w:val="00C71E26"/>
    <w:rsid w:val="00C81AF0"/>
    <w:rsid w:val="00C81B48"/>
    <w:rsid w:val="00C9487B"/>
    <w:rsid w:val="00C962BF"/>
    <w:rsid w:val="00CD2AAC"/>
    <w:rsid w:val="00CD7AA6"/>
    <w:rsid w:val="00CE39F4"/>
    <w:rsid w:val="00CE60F2"/>
    <w:rsid w:val="00CF11AC"/>
    <w:rsid w:val="00CF22C9"/>
    <w:rsid w:val="00CF63A1"/>
    <w:rsid w:val="00CF6636"/>
    <w:rsid w:val="00D00E8E"/>
    <w:rsid w:val="00D01E9A"/>
    <w:rsid w:val="00D17A68"/>
    <w:rsid w:val="00D22AD4"/>
    <w:rsid w:val="00D27D8F"/>
    <w:rsid w:val="00D33FBB"/>
    <w:rsid w:val="00D3605C"/>
    <w:rsid w:val="00D41ADC"/>
    <w:rsid w:val="00D43276"/>
    <w:rsid w:val="00D51061"/>
    <w:rsid w:val="00D51F81"/>
    <w:rsid w:val="00D54991"/>
    <w:rsid w:val="00D56D60"/>
    <w:rsid w:val="00D60979"/>
    <w:rsid w:val="00D661F9"/>
    <w:rsid w:val="00D74359"/>
    <w:rsid w:val="00D777CD"/>
    <w:rsid w:val="00D84F87"/>
    <w:rsid w:val="00D8644D"/>
    <w:rsid w:val="00D92392"/>
    <w:rsid w:val="00D9286D"/>
    <w:rsid w:val="00D9641D"/>
    <w:rsid w:val="00D966BD"/>
    <w:rsid w:val="00DA00B8"/>
    <w:rsid w:val="00DA15D0"/>
    <w:rsid w:val="00DA3D1C"/>
    <w:rsid w:val="00DB110E"/>
    <w:rsid w:val="00DB241C"/>
    <w:rsid w:val="00DB5998"/>
    <w:rsid w:val="00DD34C2"/>
    <w:rsid w:val="00DD44E7"/>
    <w:rsid w:val="00DE02D4"/>
    <w:rsid w:val="00DE796B"/>
    <w:rsid w:val="00DF0212"/>
    <w:rsid w:val="00DF1F57"/>
    <w:rsid w:val="00DF23DA"/>
    <w:rsid w:val="00E02B7A"/>
    <w:rsid w:val="00E05465"/>
    <w:rsid w:val="00E054BF"/>
    <w:rsid w:val="00E07AE8"/>
    <w:rsid w:val="00E103CD"/>
    <w:rsid w:val="00E10B81"/>
    <w:rsid w:val="00E10ED9"/>
    <w:rsid w:val="00E1106C"/>
    <w:rsid w:val="00E13295"/>
    <w:rsid w:val="00E13DDC"/>
    <w:rsid w:val="00E16AA0"/>
    <w:rsid w:val="00E17768"/>
    <w:rsid w:val="00E22C8C"/>
    <w:rsid w:val="00E31735"/>
    <w:rsid w:val="00E32679"/>
    <w:rsid w:val="00E32F51"/>
    <w:rsid w:val="00E41953"/>
    <w:rsid w:val="00E4469B"/>
    <w:rsid w:val="00E45636"/>
    <w:rsid w:val="00E517CF"/>
    <w:rsid w:val="00E52548"/>
    <w:rsid w:val="00E56BF1"/>
    <w:rsid w:val="00E639D1"/>
    <w:rsid w:val="00E65B1B"/>
    <w:rsid w:val="00E67FC7"/>
    <w:rsid w:val="00E71603"/>
    <w:rsid w:val="00E7204F"/>
    <w:rsid w:val="00E74E8C"/>
    <w:rsid w:val="00E762CE"/>
    <w:rsid w:val="00E876B9"/>
    <w:rsid w:val="00E95262"/>
    <w:rsid w:val="00EA2AC8"/>
    <w:rsid w:val="00EA30A2"/>
    <w:rsid w:val="00EA4585"/>
    <w:rsid w:val="00EA6DC5"/>
    <w:rsid w:val="00EA724F"/>
    <w:rsid w:val="00EA7E19"/>
    <w:rsid w:val="00EB33C5"/>
    <w:rsid w:val="00EB39E6"/>
    <w:rsid w:val="00EC2D99"/>
    <w:rsid w:val="00EC41CE"/>
    <w:rsid w:val="00EC4EC2"/>
    <w:rsid w:val="00EC5CA8"/>
    <w:rsid w:val="00ED1166"/>
    <w:rsid w:val="00ED2CA8"/>
    <w:rsid w:val="00ED4C28"/>
    <w:rsid w:val="00ED4E62"/>
    <w:rsid w:val="00EF2427"/>
    <w:rsid w:val="00EF4ED7"/>
    <w:rsid w:val="00EF51E4"/>
    <w:rsid w:val="00EF60AC"/>
    <w:rsid w:val="00EF6A96"/>
    <w:rsid w:val="00EF751C"/>
    <w:rsid w:val="00EF7AE0"/>
    <w:rsid w:val="00F012EF"/>
    <w:rsid w:val="00F04024"/>
    <w:rsid w:val="00F052D9"/>
    <w:rsid w:val="00F125E8"/>
    <w:rsid w:val="00F134F4"/>
    <w:rsid w:val="00F1410C"/>
    <w:rsid w:val="00F14D1C"/>
    <w:rsid w:val="00F218FE"/>
    <w:rsid w:val="00F22374"/>
    <w:rsid w:val="00F22768"/>
    <w:rsid w:val="00F26F98"/>
    <w:rsid w:val="00F302F7"/>
    <w:rsid w:val="00F32F69"/>
    <w:rsid w:val="00F337B5"/>
    <w:rsid w:val="00F348EA"/>
    <w:rsid w:val="00F371CB"/>
    <w:rsid w:val="00F436ED"/>
    <w:rsid w:val="00F4602C"/>
    <w:rsid w:val="00F5480C"/>
    <w:rsid w:val="00F557A1"/>
    <w:rsid w:val="00F6229F"/>
    <w:rsid w:val="00F75755"/>
    <w:rsid w:val="00F7675E"/>
    <w:rsid w:val="00F80EEB"/>
    <w:rsid w:val="00F85BE9"/>
    <w:rsid w:val="00F90868"/>
    <w:rsid w:val="00F90CB6"/>
    <w:rsid w:val="00F94C30"/>
    <w:rsid w:val="00F96B09"/>
    <w:rsid w:val="00FA59B6"/>
    <w:rsid w:val="00FC135F"/>
    <w:rsid w:val="00FC171F"/>
    <w:rsid w:val="00FC46E5"/>
    <w:rsid w:val="00FD6A6B"/>
    <w:rsid w:val="00FE1014"/>
    <w:rsid w:val="00FE6B52"/>
    <w:rsid w:val="00FF5282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31C40"/>
  <w14:defaultImageDpi w14:val="0"/>
  <w15:docId w15:val="{797DE697-3219-430C-BFA8-141AE454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09E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locked/>
    <w:rsid w:val="00D8644D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C15B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15B87"/>
    <w:rPr>
      <w:rFonts w:cs="Times New Roman"/>
    </w:rPr>
  </w:style>
  <w:style w:type="character" w:styleId="Numerstrony">
    <w:name w:val="page number"/>
    <w:uiPriority w:val="99"/>
    <w:semiHidden/>
    <w:rsid w:val="00C15B87"/>
    <w:rPr>
      <w:rFonts w:cs="Times New Roman"/>
    </w:rPr>
  </w:style>
  <w:style w:type="paragraph" w:styleId="NormalnyWeb">
    <w:name w:val="Normal (Web)"/>
    <w:basedOn w:val="Normalny"/>
    <w:uiPriority w:val="99"/>
    <w:rsid w:val="00866615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6979BB"/>
    <w:pPr>
      <w:ind w:left="720"/>
      <w:contextualSpacing/>
    </w:pPr>
  </w:style>
  <w:style w:type="character" w:styleId="Hipercze">
    <w:name w:val="Hyperlink"/>
    <w:uiPriority w:val="99"/>
    <w:rsid w:val="001B58F7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uiPriority w:val="99"/>
    <w:rsid w:val="00792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92920"/>
    <w:rPr>
      <w:rFonts w:cs="Times New Roman"/>
    </w:rPr>
  </w:style>
  <w:style w:type="character" w:styleId="Odwoaniedokomentarza">
    <w:name w:val="annotation reference"/>
    <w:uiPriority w:val="99"/>
    <w:semiHidden/>
    <w:rsid w:val="00C124D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4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124D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4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124D0"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C124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24D0"/>
    <w:rPr>
      <w:rFonts w:ascii="Segoe UI" w:hAnsi="Segoe UI"/>
      <w:sz w:val="18"/>
    </w:rPr>
  </w:style>
  <w:style w:type="character" w:customStyle="1" w:styleId="Nierozpoznanawzmianka1">
    <w:name w:val="Nierozpoznana wzmianka1"/>
    <w:uiPriority w:val="99"/>
    <w:rsid w:val="00EC41CE"/>
    <w:rPr>
      <w:color w:val="808080"/>
      <w:shd w:val="clear" w:color="auto" w:fill="E6E6E6"/>
    </w:rPr>
  </w:style>
  <w:style w:type="character" w:styleId="UyteHipercze">
    <w:name w:val="FollowedHyperlink"/>
    <w:uiPriority w:val="99"/>
    <w:semiHidden/>
    <w:rsid w:val="00595607"/>
    <w:rPr>
      <w:rFonts w:cs="Times New Roman"/>
      <w:color w:val="954F72"/>
      <w:u w:val="single"/>
    </w:rPr>
  </w:style>
  <w:style w:type="character" w:styleId="Odwoanieintensywne">
    <w:name w:val="Intense Reference"/>
    <w:uiPriority w:val="99"/>
    <w:qFormat/>
    <w:rsid w:val="00AA0901"/>
    <w:rPr>
      <w:b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20466C"/>
    <w:rPr>
      <w:sz w:val="24"/>
      <w:szCs w:val="24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locked/>
    <w:rsid w:val="00AD515D"/>
    <w:rPr>
      <w:rFonts w:ascii="Times New Roman" w:hAnsi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D515D"/>
    <w:rPr>
      <w:rFonts w:ascii="Times New Roman" w:hAnsi="Times New Roman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rsid w:val="00E41953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D8644D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tlid-translation">
    <w:name w:val="tlid-translation"/>
    <w:basedOn w:val="Domylnaczcionkaakapitu"/>
    <w:rsid w:val="00E11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2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799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7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6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81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2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50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2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7643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745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30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0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71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915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3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967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sn.pl/sites/orzecznictwo/Orzeczenia3/I%20KZP%2024-12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12F78-E9B0-4CB9-B876-5A7E2429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1424</Words>
  <Characters>8545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Krzysztof Krak</Company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Dudzik Katarzyna</dc:creator>
  <cp:lastModifiedBy>Banaś Krzysztof</cp:lastModifiedBy>
  <cp:revision>5</cp:revision>
  <dcterms:created xsi:type="dcterms:W3CDTF">2019-02-01T07:00:00Z</dcterms:created>
  <dcterms:modified xsi:type="dcterms:W3CDTF">2023-07-14T09:42:00Z</dcterms:modified>
</cp:coreProperties>
</file>